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60D30" w14:textId="77777777" w:rsidR="0022030C" w:rsidRPr="0022030C" w:rsidRDefault="00605577" w:rsidP="0022030C">
      <w:pPr>
        <w:jc w:val="center"/>
        <w:rPr>
          <w:b/>
          <w:color w:val="008000"/>
          <w:sz w:val="36"/>
          <w:szCs w:val="36"/>
        </w:rPr>
      </w:pPr>
      <w:r>
        <w:rPr>
          <w:b/>
          <w:noProof/>
          <w:color w:val="008000"/>
          <w:sz w:val="36"/>
          <w:szCs w:val="36"/>
        </w:rPr>
        <w:drawing>
          <wp:anchor distT="0" distB="0" distL="114300" distR="114300" simplePos="0" relativeHeight="251681792" behindDoc="0" locked="0" layoutInCell="1" allowOverlap="1" wp14:anchorId="29F6396A" wp14:editId="66054F54">
            <wp:simplePos x="0" y="0"/>
            <wp:positionH relativeFrom="column">
              <wp:posOffset>1826260</wp:posOffset>
            </wp:positionH>
            <wp:positionV relativeFrom="paragraph">
              <wp:posOffset>-269875</wp:posOffset>
            </wp:positionV>
            <wp:extent cx="1928495" cy="557530"/>
            <wp:effectExtent l="19050" t="0" r="0" b="0"/>
            <wp:wrapSquare wrapText="bothSides"/>
            <wp:docPr id="15" name="Image 1" descr="C:\Documents and Settings\Administrateur\Bureau\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images.jpeg"/>
                    <pic:cNvPicPr>
                      <a:picLocks noChangeAspect="1" noChangeArrowheads="1"/>
                    </pic:cNvPicPr>
                  </pic:nvPicPr>
                  <pic:blipFill>
                    <a:blip r:embed="rId8"/>
                    <a:srcRect/>
                    <a:stretch>
                      <a:fillRect/>
                    </a:stretch>
                  </pic:blipFill>
                  <pic:spPr bwMode="auto">
                    <a:xfrm>
                      <a:off x="0" y="0"/>
                      <a:ext cx="1928495" cy="557530"/>
                    </a:xfrm>
                    <a:prstGeom prst="rect">
                      <a:avLst/>
                    </a:prstGeom>
                    <a:noFill/>
                    <a:ln w="9525">
                      <a:noFill/>
                      <a:miter lim="800000"/>
                      <a:headEnd/>
                      <a:tailEnd/>
                    </a:ln>
                  </pic:spPr>
                </pic:pic>
              </a:graphicData>
            </a:graphic>
          </wp:anchor>
        </w:drawing>
      </w:r>
      <w:r>
        <w:rPr>
          <w:b/>
          <w:noProof/>
          <w:color w:val="008000"/>
          <w:sz w:val="36"/>
          <w:szCs w:val="36"/>
        </w:rPr>
        <w:drawing>
          <wp:anchor distT="0" distB="0" distL="114300" distR="114300" simplePos="0" relativeHeight="251662336" behindDoc="0" locked="0" layoutInCell="1" allowOverlap="1" wp14:anchorId="74C146B8" wp14:editId="35C2EEB1">
            <wp:simplePos x="0" y="0"/>
            <wp:positionH relativeFrom="column">
              <wp:posOffset>4363085</wp:posOffset>
            </wp:positionH>
            <wp:positionV relativeFrom="paragraph">
              <wp:posOffset>-472440</wp:posOffset>
            </wp:positionV>
            <wp:extent cx="883285" cy="771525"/>
            <wp:effectExtent l="19050" t="0" r="0" b="0"/>
            <wp:wrapSquare wrapText="bothSides"/>
            <wp:docPr id="4" name="Imag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srcRect/>
                    <a:stretch>
                      <a:fillRect/>
                    </a:stretch>
                  </pic:blipFill>
                  <pic:spPr bwMode="auto">
                    <a:xfrm>
                      <a:off x="0" y="0"/>
                      <a:ext cx="883285" cy="771525"/>
                    </a:xfrm>
                    <a:prstGeom prst="rect">
                      <a:avLst/>
                    </a:prstGeom>
                    <a:noFill/>
                    <a:ln w="9525">
                      <a:noFill/>
                      <a:miter lim="800000"/>
                      <a:headEnd/>
                      <a:tailEnd/>
                    </a:ln>
                  </pic:spPr>
                </pic:pic>
              </a:graphicData>
            </a:graphic>
          </wp:anchor>
        </w:drawing>
      </w:r>
      <w:r w:rsidR="004C0302">
        <w:rPr>
          <w:b/>
          <w:noProof/>
          <w:color w:val="008000"/>
          <w:sz w:val="36"/>
          <w:szCs w:val="36"/>
        </w:rPr>
        <w:drawing>
          <wp:anchor distT="0" distB="0" distL="114300" distR="114300" simplePos="0" relativeHeight="251663360" behindDoc="0" locked="0" layoutInCell="1" allowOverlap="1" wp14:anchorId="124BBADE" wp14:editId="7E4CA3D2">
            <wp:simplePos x="0" y="0"/>
            <wp:positionH relativeFrom="column">
              <wp:posOffset>520065</wp:posOffset>
            </wp:positionH>
            <wp:positionV relativeFrom="paragraph">
              <wp:posOffset>-579755</wp:posOffset>
            </wp:positionV>
            <wp:extent cx="822960" cy="996950"/>
            <wp:effectExtent l="19050" t="0" r="0" b="0"/>
            <wp:wrapSquare wrapText="bothSides"/>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996950"/>
                    </a:xfrm>
                    <a:prstGeom prst="rect">
                      <a:avLst/>
                    </a:prstGeom>
                    <a:noFill/>
                    <a:ln>
                      <a:noFill/>
                    </a:ln>
                  </pic:spPr>
                </pic:pic>
              </a:graphicData>
            </a:graphic>
          </wp:anchor>
        </w:drawing>
      </w:r>
    </w:p>
    <w:p w14:paraId="0FE4AC9A" w14:textId="77777777" w:rsidR="00973A34" w:rsidRDefault="00973A34" w:rsidP="00973A34">
      <w:pPr>
        <w:jc w:val="center"/>
        <w:rPr>
          <w:b/>
          <w:sz w:val="36"/>
        </w:rPr>
      </w:pPr>
    </w:p>
    <w:p w14:paraId="52BE5255" w14:textId="77777777" w:rsidR="00973A34" w:rsidRDefault="004D52FC" w:rsidP="00973A34">
      <w:pPr>
        <w:jc w:val="center"/>
        <w:rPr>
          <w:b/>
          <w:color w:val="008000"/>
          <w:sz w:val="32"/>
        </w:rPr>
      </w:pPr>
      <w:r>
        <w:rPr>
          <w:b/>
          <w:color w:val="008000"/>
          <w:sz w:val="32"/>
        </w:rPr>
        <w:t>POUVOIRS LOCAUX ET RICHESSES DES</w:t>
      </w:r>
      <w:r w:rsidR="00973A34" w:rsidRPr="00973A34">
        <w:rPr>
          <w:b/>
          <w:color w:val="008000"/>
          <w:sz w:val="32"/>
        </w:rPr>
        <w:t xml:space="preserve"> TERRITOIRE</w:t>
      </w:r>
      <w:r>
        <w:rPr>
          <w:b/>
          <w:color w:val="008000"/>
          <w:sz w:val="32"/>
        </w:rPr>
        <w:t>S</w:t>
      </w:r>
    </w:p>
    <w:p w14:paraId="6A695E2B" w14:textId="77777777" w:rsidR="00973A34" w:rsidRPr="00973A34" w:rsidRDefault="00973A34" w:rsidP="00973A34">
      <w:pPr>
        <w:jc w:val="center"/>
        <w:rPr>
          <w:b/>
          <w:color w:val="008000"/>
          <w:sz w:val="14"/>
        </w:rPr>
      </w:pPr>
    </w:p>
    <w:p w14:paraId="674E88E9" w14:textId="77777777" w:rsidR="00973A34" w:rsidRPr="00973A34" w:rsidRDefault="00973A34" w:rsidP="00973A34">
      <w:pPr>
        <w:jc w:val="center"/>
        <w:rPr>
          <w:b/>
          <w:sz w:val="20"/>
        </w:rPr>
      </w:pPr>
      <w:r w:rsidRPr="00973A34">
        <w:rPr>
          <w:b/>
          <w:sz w:val="20"/>
        </w:rPr>
        <w:t>Journée d’étude internationale 2 juin 2014</w:t>
      </w:r>
    </w:p>
    <w:p w14:paraId="4AE7450F" w14:textId="77777777" w:rsidR="00973A34" w:rsidRPr="00973A34" w:rsidRDefault="00973A34" w:rsidP="00973A34">
      <w:pPr>
        <w:jc w:val="center"/>
        <w:rPr>
          <w:sz w:val="20"/>
        </w:rPr>
      </w:pPr>
      <w:r w:rsidRPr="00973A34">
        <w:rPr>
          <w:sz w:val="20"/>
        </w:rPr>
        <w:t>Salle du conseil</w:t>
      </w:r>
      <w:r w:rsidR="004D52FC">
        <w:rPr>
          <w:sz w:val="20"/>
        </w:rPr>
        <w:t xml:space="preserve"> A (R – 1)</w:t>
      </w:r>
    </w:p>
    <w:p w14:paraId="2551384D" w14:textId="77777777" w:rsidR="00973A34" w:rsidRDefault="00973A34" w:rsidP="00973A34">
      <w:pPr>
        <w:jc w:val="center"/>
        <w:rPr>
          <w:sz w:val="20"/>
        </w:rPr>
      </w:pPr>
      <w:r w:rsidRPr="00973A34">
        <w:rPr>
          <w:sz w:val="20"/>
        </w:rPr>
        <w:t>190 avenue de France 75013 Paris</w:t>
      </w:r>
    </w:p>
    <w:p w14:paraId="37E9B25F" w14:textId="77777777" w:rsidR="00AB2C0D" w:rsidRDefault="005D2DE3" w:rsidP="00973A34">
      <w:pPr>
        <w:jc w:val="center"/>
        <w:rPr>
          <w:sz w:val="20"/>
        </w:rPr>
      </w:pPr>
      <w:hyperlink r:id="rId11" w:history="1">
        <w:r w:rsidR="00AB2C0D" w:rsidRPr="00A63973">
          <w:rPr>
            <w:rStyle w:val="Lienhypertexte"/>
            <w:sz w:val="20"/>
          </w:rPr>
          <w:t>journee.plrt@gmail.com</w:t>
        </w:r>
      </w:hyperlink>
    </w:p>
    <w:p w14:paraId="1B6CBC88" w14:textId="77777777" w:rsidR="00AB2C0D" w:rsidRDefault="005D2DE3" w:rsidP="00973A34">
      <w:pPr>
        <w:jc w:val="center"/>
        <w:rPr>
          <w:sz w:val="20"/>
        </w:rPr>
      </w:pPr>
      <w:hyperlink r:id="rId12" w:history="1">
        <w:r w:rsidR="00AB2C0D" w:rsidRPr="00AB2C0D">
          <w:rPr>
            <w:rStyle w:val="Lienhypertexte"/>
            <w:sz w:val="20"/>
          </w:rPr>
          <w:t>journeeplrt.wordpress.com</w:t>
        </w:r>
      </w:hyperlink>
    </w:p>
    <w:p w14:paraId="358974F7" w14:textId="77777777" w:rsidR="0022030C" w:rsidRPr="00C43370" w:rsidRDefault="0022030C" w:rsidP="0022030C">
      <w:pPr>
        <w:pBdr>
          <w:bottom w:val="single" w:sz="8" w:space="1" w:color="auto"/>
        </w:pBdr>
        <w:jc w:val="center"/>
        <w:rPr>
          <w:b/>
          <w:color w:val="008000"/>
          <w:sz w:val="18"/>
        </w:rPr>
      </w:pPr>
    </w:p>
    <w:p w14:paraId="7558ED1C" w14:textId="77777777" w:rsidR="0022030C" w:rsidRPr="00973A34" w:rsidRDefault="0022030C" w:rsidP="0022030C">
      <w:pPr>
        <w:jc w:val="center"/>
        <w:rPr>
          <w:sz w:val="14"/>
        </w:rPr>
      </w:pPr>
    </w:p>
    <w:p w14:paraId="6F8D5304" w14:textId="77777777" w:rsidR="00973A34" w:rsidRPr="00751DEF" w:rsidRDefault="00973A34" w:rsidP="00973A34">
      <w:pPr>
        <w:jc w:val="center"/>
        <w:rPr>
          <w:b/>
        </w:rPr>
      </w:pPr>
      <w:r w:rsidRPr="00973A34">
        <w:rPr>
          <w:b/>
          <w:sz w:val="36"/>
        </w:rPr>
        <w:t>PROGRAMME</w:t>
      </w:r>
      <w:r w:rsidR="00E442E7">
        <w:rPr>
          <w:b/>
          <w:sz w:val="36"/>
        </w:rPr>
        <w:t xml:space="preserve"> </w:t>
      </w:r>
      <w:r w:rsidR="00E442E7" w:rsidRPr="00751DEF">
        <w:t>[</w:t>
      </w:r>
      <w:r w:rsidR="00E442E7" w:rsidRPr="00751DEF">
        <w:rPr>
          <w:sz w:val="22"/>
        </w:rPr>
        <w:t>provisoire</w:t>
      </w:r>
      <w:r w:rsidR="00E442E7" w:rsidRPr="00751DEF">
        <w:t>]</w:t>
      </w:r>
    </w:p>
    <w:p w14:paraId="1BB6A66F" w14:textId="77777777" w:rsidR="00973A34" w:rsidRDefault="00973A34" w:rsidP="00973A34">
      <w:pPr>
        <w:jc w:val="both"/>
        <w:rPr>
          <w:sz w:val="22"/>
        </w:rPr>
      </w:pPr>
    </w:p>
    <w:p w14:paraId="491BAC0B" w14:textId="77777777" w:rsidR="00445896" w:rsidRDefault="00445896" w:rsidP="00973A34">
      <w:pPr>
        <w:jc w:val="both"/>
        <w:rPr>
          <w:sz w:val="22"/>
        </w:rPr>
      </w:pPr>
    </w:p>
    <w:p w14:paraId="45A3F2EB" w14:textId="77777777" w:rsidR="00445896" w:rsidRDefault="005D2DE3" w:rsidP="00973A34">
      <w:pPr>
        <w:jc w:val="both"/>
        <w:rPr>
          <w:sz w:val="22"/>
        </w:rPr>
      </w:pPr>
      <w:r>
        <w:rPr>
          <w:sz w:val="22"/>
        </w:rPr>
        <w:pict w14:anchorId="5D35B2F0">
          <v:rect id="_x0000_i1025" style="width:0;height:1.5pt" o:hralign="center" o:hrstd="t" o:hr="t" fillcolor="#aca899" stroked="f"/>
        </w:pict>
      </w:r>
    </w:p>
    <w:p w14:paraId="3DAB01CE" w14:textId="77777777" w:rsidR="00170BA8" w:rsidRDefault="00973A34" w:rsidP="00FD773D">
      <w:pPr>
        <w:pStyle w:val="Titre2"/>
        <w:jc w:val="center"/>
        <w:rPr>
          <w:sz w:val="24"/>
        </w:rPr>
      </w:pPr>
      <w:r w:rsidRPr="00445896">
        <w:rPr>
          <w:sz w:val="24"/>
        </w:rPr>
        <w:t>9h : accueil des participants</w:t>
      </w:r>
    </w:p>
    <w:p w14:paraId="64710CE8" w14:textId="77777777" w:rsidR="00973A34" w:rsidRDefault="005D2DE3" w:rsidP="00FD773D">
      <w:pPr>
        <w:pStyle w:val="Titre2"/>
        <w:jc w:val="center"/>
        <w:rPr>
          <w:sz w:val="24"/>
        </w:rPr>
      </w:pPr>
      <w:r>
        <w:rPr>
          <w:sz w:val="22"/>
        </w:rPr>
        <w:pict w14:anchorId="701E8092">
          <v:rect id="_x0000_i1026" style="width:0;height:1.5pt" o:hralign="center" o:hrstd="t" o:hr="t" fillcolor="#aca899" stroked="f"/>
        </w:pict>
      </w:r>
    </w:p>
    <w:p w14:paraId="60090EA6" w14:textId="77777777" w:rsidR="00973A34" w:rsidRPr="00445896" w:rsidRDefault="00973A34" w:rsidP="00FD773D">
      <w:pPr>
        <w:pStyle w:val="Titre2"/>
        <w:jc w:val="center"/>
        <w:rPr>
          <w:sz w:val="24"/>
        </w:rPr>
      </w:pPr>
      <w:r w:rsidRPr="00445896">
        <w:rPr>
          <w:sz w:val="24"/>
        </w:rPr>
        <w:t xml:space="preserve">9h30-10h30 : </w:t>
      </w:r>
      <w:r w:rsidRPr="00445896">
        <w:rPr>
          <w:i/>
          <w:sz w:val="24"/>
        </w:rPr>
        <w:t>Allocution</w:t>
      </w:r>
      <w:r w:rsidR="004D52FC">
        <w:rPr>
          <w:i/>
          <w:sz w:val="24"/>
        </w:rPr>
        <w:t>s</w:t>
      </w:r>
      <w:r w:rsidRPr="00445896">
        <w:rPr>
          <w:i/>
          <w:sz w:val="24"/>
        </w:rPr>
        <w:t xml:space="preserve"> </w:t>
      </w:r>
      <w:r w:rsidR="00FD773D" w:rsidRPr="00445896">
        <w:rPr>
          <w:i/>
          <w:sz w:val="24"/>
        </w:rPr>
        <w:t>introductive</w:t>
      </w:r>
      <w:r w:rsidR="004D52FC">
        <w:rPr>
          <w:i/>
          <w:sz w:val="24"/>
        </w:rPr>
        <w:t>s</w:t>
      </w:r>
    </w:p>
    <w:p w14:paraId="5683E57F" w14:textId="77777777" w:rsidR="00973A34" w:rsidRDefault="00973A34" w:rsidP="00973A34">
      <w:pPr>
        <w:jc w:val="both"/>
        <w:rPr>
          <w:sz w:val="22"/>
        </w:rPr>
      </w:pPr>
    </w:p>
    <w:p w14:paraId="1D082842" w14:textId="134CBD2E" w:rsidR="00973A34" w:rsidRPr="00E8011B" w:rsidRDefault="00E8011B" w:rsidP="00FD773D">
      <w:pPr>
        <w:pStyle w:val="Paragraphedeliste"/>
        <w:ind w:left="360"/>
        <w:jc w:val="both"/>
        <w:rPr>
          <w:sz w:val="22"/>
        </w:rPr>
      </w:pPr>
      <w:r>
        <w:rPr>
          <w:b/>
          <w:sz w:val="22"/>
        </w:rPr>
        <w:t xml:space="preserve">Mot de bienvenue </w:t>
      </w:r>
      <w:r w:rsidR="00FD773D">
        <w:rPr>
          <w:sz w:val="22"/>
        </w:rPr>
        <w:t xml:space="preserve">: </w:t>
      </w:r>
      <w:r w:rsidR="000E3548">
        <w:rPr>
          <w:i/>
          <w:sz w:val="22"/>
        </w:rPr>
        <w:t xml:space="preserve">Jean-Pierre </w:t>
      </w:r>
      <w:proofErr w:type="spellStart"/>
      <w:r w:rsidR="000E3548">
        <w:rPr>
          <w:i/>
          <w:sz w:val="22"/>
        </w:rPr>
        <w:t>Dozon</w:t>
      </w:r>
      <w:proofErr w:type="spellEnd"/>
      <w:r w:rsidR="000E3548">
        <w:rPr>
          <w:i/>
          <w:sz w:val="22"/>
        </w:rPr>
        <w:t>, directeur scientifique de la FMSH</w:t>
      </w:r>
    </w:p>
    <w:p w14:paraId="5CFD2DC3" w14:textId="77777777" w:rsidR="00445896" w:rsidRDefault="00445896" w:rsidP="00FD773D">
      <w:pPr>
        <w:pStyle w:val="Paragraphedeliste"/>
        <w:ind w:left="360"/>
        <w:jc w:val="both"/>
        <w:rPr>
          <w:sz w:val="22"/>
        </w:rPr>
      </w:pPr>
    </w:p>
    <w:p w14:paraId="77D17E1C" w14:textId="77777777" w:rsidR="00973A34" w:rsidRDefault="00FD773D" w:rsidP="00FD773D">
      <w:pPr>
        <w:pStyle w:val="Paragraphedeliste"/>
        <w:ind w:left="360"/>
        <w:jc w:val="both"/>
        <w:rPr>
          <w:i/>
          <w:sz w:val="22"/>
        </w:rPr>
      </w:pPr>
      <w:r w:rsidRPr="00FD773D">
        <w:rPr>
          <w:b/>
          <w:sz w:val="22"/>
        </w:rPr>
        <w:t>Introduction scientifique</w:t>
      </w:r>
      <w:r>
        <w:rPr>
          <w:sz w:val="22"/>
        </w:rPr>
        <w:t xml:space="preserve"> : </w:t>
      </w:r>
      <w:r w:rsidRPr="00FD773D">
        <w:rPr>
          <w:i/>
          <w:sz w:val="22"/>
        </w:rPr>
        <w:t>Michèle Leclerc</w:t>
      </w:r>
      <w:r w:rsidR="00E75724">
        <w:rPr>
          <w:i/>
          <w:sz w:val="22"/>
        </w:rPr>
        <w:t>-Olive, IRIS, EHESS</w:t>
      </w:r>
    </w:p>
    <w:p w14:paraId="3ADFE412" w14:textId="77777777" w:rsidR="00445896" w:rsidRPr="00FD773D" w:rsidRDefault="00445896" w:rsidP="00FD773D">
      <w:pPr>
        <w:pStyle w:val="Paragraphedeliste"/>
        <w:ind w:left="360"/>
        <w:jc w:val="both"/>
        <w:rPr>
          <w:i/>
          <w:sz w:val="22"/>
        </w:rPr>
      </w:pPr>
    </w:p>
    <w:p w14:paraId="3A3D4F98" w14:textId="77777777" w:rsidR="00FD773D" w:rsidRDefault="00FD773D" w:rsidP="00FD773D">
      <w:pPr>
        <w:pStyle w:val="Paragraphedeliste"/>
        <w:ind w:left="360"/>
        <w:jc w:val="both"/>
        <w:rPr>
          <w:i/>
          <w:sz w:val="22"/>
        </w:rPr>
      </w:pPr>
      <w:r w:rsidRPr="00FD773D">
        <w:rPr>
          <w:b/>
          <w:sz w:val="22"/>
        </w:rPr>
        <w:t>Présentation de la journée</w:t>
      </w:r>
      <w:r>
        <w:rPr>
          <w:sz w:val="22"/>
        </w:rPr>
        <w:t xml:space="preserve"> : </w:t>
      </w:r>
      <w:r w:rsidRPr="00FD773D">
        <w:rPr>
          <w:i/>
          <w:sz w:val="22"/>
        </w:rPr>
        <w:t>Guillaume Pastureau, GREThA, Université de Bordeaux</w:t>
      </w:r>
    </w:p>
    <w:p w14:paraId="5D2357E1" w14:textId="77777777" w:rsidR="00FD773D" w:rsidRPr="00FD773D" w:rsidRDefault="00FD773D" w:rsidP="00FD773D">
      <w:pPr>
        <w:pStyle w:val="Paragraphedeliste"/>
        <w:ind w:left="360"/>
        <w:jc w:val="both"/>
        <w:rPr>
          <w:i/>
          <w:sz w:val="22"/>
        </w:rPr>
      </w:pPr>
    </w:p>
    <w:p w14:paraId="2FEF2E87" w14:textId="77777777" w:rsidR="00FD773D" w:rsidRPr="00973A34" w:rsidRDefault="005D2DE3" w:rsidP="00FD773D">
      <w:pPr>
        <w:pStyle w:val="Paragraphedeliste"/>
        <w:ind w:left="360"/>
        <w:jc w:val="both"/>
        <w:rPr>
          <w:sz w:val="22"/>
        </w:rPr>
      </w:pPr>
      <w:r>
        <w:rPr>
          <w:sz w:val="22"/>
        </w:rPr>
        <w:pict w14:anchorId="5D3743A5">
          <v:rect id="_x0000_i1027" style="width:0;height:1.5pt" o:hralign="center" o:hrstd="t" o:hr="t" fillcolor="#aca899" stroked="f"/>
        </w:pict>
      </w:r>
    </w:p>
    <w:p w14:paraId="05D8B814" w14:textId="77777777" w:rsidR="00445896" w:rsidRDefault="00973A34" w:rsidP="00445896">
      <w:pPr>
        <w:pStyle w:val="Titre2"/>
        <w:jc w:val="center"/>
      </w:pPr>
      <w:r w:rsidRPr="00FD773D">
        <w:t>10h30-12h</w:t>
      </w:r>
      <w:r w:rsidR="00445896">
        <w:t>15</w:t>
      </w:r>
      <w:r w:rsidRPr="00FD773D">
        <w:t xml:space="preserve"> : </w:t>
      </w:r>
      <w:r w:rsidR="00E8011B">
        <w:t xml:space="preserve">Sol, sous-sol et communautés </w:t>
      </w:r>
      <w:r w:rsidR="00445896">
        <w:t xml:space="preserve"> </w:t>
      </w:r>
    </w:p>
    <w:p w14:paraId="2C778610" w14:textId="77777777" w:rsidR="005C00A1" w:rsidRDefault="005C00A1" w:rsidP="00445896">
      <w:pPr>
        <w:pStyle w:val="Paragraphedeliste"/>
        <w:ind w:left="360"/>
        <w:jc w:val="both"/>
        <w:rPr>
          <w:i/>
          <w:sz w:val="22"/>
        </w:rPr>
      </w:pPr>
    </w:p>
    <w:p w14:paraId="665D1F1E" w14:textId="77777777" w:rsidR="00FD773D" w:rsidRPr="00FD773D" w:rsidRDefault="00FD773D" w:rsidP="00445896">
      <w:pPr>
        <w:pStyle w:val="Paragraphedeliste"/>
        <w:ind w:left="360"/>
        <w:jc w:val="both"/>
        <w:rPr>
          <w:i/>
          <w:sz w:val="22"/>
        </w:rPr>
      </w:pPr>
      <w:r w:rsidRPr="00FD773D">
        <w:rPr>
          <w:b/>
          <w:sz w:val="22"/>
        </w:rPr>
        <w:t>De la chefferie à la polyarchie. Réintroduire</w:t>
      </w:r>
      <w:r>
        <w:rPr>
          <w:b/>
          <w:sz w:val="22"/>
        </w:rPr>
        <w:t xml:space="preserve"> </w:t>
      </w:r>
      <w:r w:rsidRPr="00FD773D">
        <w:rPr>
          <w:b/>
          <w:sz w:val="22"/>
        </w:rPr>
        <w:t>la dimension communautaire et les communs dans l’observation des pouvoirs locaux africains</w:t>
      </w:r>
    </w:p>
    <w:p w14:paraId="1D7FB597" w14:textId="77777777" w:rsidR="00FD773D" w:rsidRPr="00445896" w:rsidRDefault="00FD773D" w:rsidP="00445896">
      <w:pPr>
        <w:pStyle w:val="Paragraphedeliste"/>
        <w:ind w:left="360"/>
        <w:jc w:val="both"/>
        <w:rPr>
          <w:i/>
          <w:sz w:val="22"/>
        </w:rPr>
      </w:pPr>
      <w:r>
        <w:rPr>
          <w:i/>
          <w:sz w:val="22"/>
        </w:rPr>
        <w:t xml:space="preserve">Etienne Leroy – </w:t>
      </w:r>
      <w:r w:rsidRPr="00FD773D">
        <w:rPr>
          <w:i/>
          <w:sz w:val="22"/>
        </w:rPr>
        <w:t>Université  Panthéon-Sorbonne  Paris  1.</w:t>
      </w:r>
    </w:p>
    <w:p w14:paraId="476626B7" w14:textId="77777777" w:rsidR="00FD773D" w:rsidRPr="00973A34" w:rsidRDefault="00FD773D" w:rsidP="00FD773D">
      <w:pPr>
        <w:pStyle w:val="Paragraphedeliste"/>
        <w:ind w:left="360"/>
        <w:jc w:val="both"/>
        <w:rPr>
          <w:b/>
          <w:sz w:val="22"/>
        </w:rPr>
      </w:pPr>
    </w:p>
    <w:p w14:paraId="34E8118C" w14:textId="77777777" w:rsidR="004260A6" w:rsidRPr="004260A6" w:rsidRDefault="004260A6" w:rsidP="004260A6">
      <w:pPr>
        <w:pStyle w:val="Paragraphedeliste"/>
        <w:ind w:left="360"/>
        <w:jc w:val="both"/>
        <w:rPr>
          <w:b/>
          <w:sz w:val="22"/>
        </w:rPr>
      </w:pPr>
      <w:r w:rsidRPr="004260A6">
        <w:rPr>
          <w:b/>
          <w:sz w:val="22"/>
        </w:rPr>
        <w:t xml:space="preserve">Mobilisation et initiatives des migrants </w:t>
      </w:r>
      <w:proofErr w:type="spellStart"/>
      <w:r w:rsidRPr="004260A6">
        <w:rPr>
          <w:b/>
          <w:sz w:val="22"/>
        </w:rPr>
        <w:t>haalpulaaren</w:t>
      </w:r>
      <w:proofErr w:type="spellEnd"/>
      <w:r w:rsidRPr="004260A6">
        <w:rPr>
          <w:b/>
          <w:sz w:val="22"/>
        </w:rPr>
        <w:t xml:space="preserve"> face aux enjeux de l’accaparement des terres dans la vallée du fleuve Sénégal (Mauritanie, Sénégal)</w:t>
      </w:r>
    </w:p>
    <w:p w14:paraId="45F6043F" w14:textId="77777777" w:rsidR="00973A34" w:rsidRPr="00445896" w:rsidRDefault="00FD773D" w:rsidP="00445896">
      <w:pPr>
        <w:pStyle w:val="Paragraphedeliste"/>
        <w:ind w:left="360"/>
        <w:jc w:val="both"/>
        <w:rPr>
          <w:b/>
          <w:sz w:val="22"/>
        </w:rPr>
      </w:pPr>
      <w:r w:rsidRPr="00FD773D">
        <w:rPr>
          <w:i/>
          <w:sz w:val="22"/>
        </w:rPr>
        <w:t xml:space="preserve">Olivier </w:t>
      </w:r>
      <w:proofErr w:type="spellStart"/>
      <w:r w:rsidRPr="00FD773D">
        <w:rPr>
          <w:i/>
          <w:sz w:val="22"/>
        </w:rPr>
        <w:t>Leservoisier</w:t>
      </w:r>
      <w:proofErr w:type="spellEnd"/>
      <w:r w:rsidR="00445896">
        <w:rPr>
          <w:i/>
          <w:sz w:val="22"/>
        </w:rPr>
        <w:t xml:space="preserve"> – </w:t>
      </w:r>
      <w:r>
        <w:rPr>
          <w:i/>
          <w:sz w:val="22"/>
        </w:rPr>
        <w:t>CRE, Université Lumière Lyon II</w:t>
      </w:r>
    </w:p>
    <w:p w14:paraId="0A0DBD4E" w14:textId="77777777" w:rsidR="00445896" w:rsidRPr="00445896" w:rsidRDefault="00445896" w:rsidP="00445896">
      <w:pPr>
        <w:pStyle w:val="Paragraphedeliste"/>
        <w:ind w:left="360"/>
        <w:jc w:val="both"/>
        <w:rPr>
          <w:b/>
          <w:sz w:val="22"/>
        </w:rPr>
      </w:pPr>
    </w:p>
    <w:p w14:paraId="4C2419B3" w14:textId="77777777" w:rsidR="00FD773D" w:rsidRPr="00973A34" w:rsidRDefault="00FD773D" w:rsidP="00FD773D">
      <w:pPr>
        <w:pStyle w:val="Paragraphedeliste"/>
        <w:ind w:left="360"/>
        <w:jc w:val="both"/>
        <w:rPr>
          <w:b/>
          <w:sz w:val="22"/>
        </w:rPr>
      </w:pPr>
    </w:p>
    <w:p w14:paraId="1FFAC2FE" w14:textId="77777777" w:rsidR="00973A34" w:rsidRPr="00973A34" w:rsidRDefault="005D2DE3" w:rsidP="00973A34">
      <w:pPr>
        <w:jc w:val="both"/>
        <w:rPr>
          <w:b/>
          <w:sz w:val="22"/>
        </w:rPr>
      </w:pPr>
      <w:r>
        <w:rPr>
          <w:sz w:val="22"/>
        </w:rPr>
        <w:pict w14:anchorId="2C2AEC48">
          <v:rect id="_x0000_i1028" style="width:0;height:1.5pt" o:hralign="center" o:hrstd="t" o:hr="t" fillcolor="#aca899" stroked="f"/>
        </w:pict>
      </w:r>
    </w:p>
    <w:p w14:paraId="72175161" w14:textId="77777777" w:rsidR="00973A34" w:rsidRPr="00FD773D" w:rsidRDefault="00973A34" w:rsidP="00FD773D">
      <w:pPr>
        <w:pStyle w:val="Titre2"/>
        <w:jc w:val="center"/>
      </w:pPr>
      <w:r w:rsidRPr="00FD773D">
        <w:t>12h</w:t>
      </w:r>
      <w:r w:rsidR="00445896">
        <w:t>15</w:t>
      </w:r>
      <w:r w:rsidRPr="00FD773D">
        <w:t xml:space="preserve">-14h : </w:t>
      </w:r>
      <w:r w:rsidR="003075CB" w:rsidRPr="00FD773D">
        <w:t>pause repas</w:t>
      </w:r>
      <w:r w:rsidRPr="00FD773D">
        <w:t xml:space="preserve"> </w:t>
      </w:r>
    </w:p>
    <w:p w14:paraId="0399DE8B" w14:textId="77777777" w:rsidR="00973A34" w:rsidRDefault="005D2DE3" w:rsidP="00973A34">
      <w:pPr>
        <w:jc w:val="both"/>
        <w:rPr>
          <w:sz w:val="22"/>
        </w:rPr>
      </w:pPr>
      <w:r>
        <w:rPr>
          <w:sz w:val="22"/>
        </w:rPr>
        <w:pict w14:anchorId="05B749BF">
          <v:rect id="_x0000_i1029" style="width:0;height:1.5pt" o:hralign="center" o:hrstd="t" o:hr="t" fillcolor="#aca899" stroked="f"/>
        </w:pict>
      </w:r>
    </w:p>
    <w:p w14:paraId="40FB27FA" w14:textId="77777777" w:rsidR="00445896" w:rsidRDefault="00445896">
      <w:pPr>
        <w:rPr>
          <w:rFonts w:asciiTheme="majorHAnsi" w:eastAsiaTheme="majorEastAsia" w:hAnsiTheme="majorHAnsi" w:cstheme="majorBidi"/>
          <w:b/>
          <w:bCs/>
          <w:color w:val="4F81BD" w:themeColor="accent1"/>
          <w:sz w:val="26"/>
          <w:szCs w:val="26"/>
        </w:rPr>
      </w:pPr>
      <w:r>
        <w:br w:type="page"/>
      </w:r>
    </w:p>
    <w:p w14:paraId="7E398579" w14:textId="77777777" w:rsidR="00605577" w:rsidRPr="0022030C" w:rsidRDefault="00605577" w:rsidP="00605577">
      <w:pPr>
        <w:jc w:val="center"/>
        <w:rPr>
          <w:b/>
          <w:color w:val="008000"/>
          <w:sz w:val="36"/>
          <w:szCs w:val="36"/>
        </w:rPr>
      </w:pPr>
      <w:r>
        <w:rPr>
          <w:b/>
          <w:noProof/>
          <w:color w:val="008000"/>
          <w:sz w:val="36"/>
          <w:szCs w:val="36"/>
        </w:rPr>
        <w:lastRenderedPageBreak/>
        <w:drawing>
          <wp:anchor distT="0" distB="0" distL="114300" distR="114300" simplePos="0" relativeHeight="251685888" behindDoc="0" locked="0" layoutInCell="1" allowOverlap="1" wp14:anchorId="6394D1B7" wp14:editId="5F3E558F">
            <wp:simplePos x="0" y="0"/>
            <wp:positionH relativeFrom="column">
              <wp:posOffset>1826260</wp:posOffset>
            </wp:positionH>
            <wp:positionV relativeFrom="paragraph">
              <wp:posOffset>-269875</wp:posOffset>
            </wp:positionV>
            <wp:extent cx="1928495" cy="557530"/>
            <wp:effectExtent l="19050" t="0" r="0" b="0"/>
            <wp:wrapSquare wrapText="bothSides"/>
            <wp:docPr id="24" name="Image 1" descr="C:\Documents and Settings\Administrateur\Bureau\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images.jpeg"/>
                    <pic:cNvPicPr>
                      <a:picLocks noChangeAspect="1" noChangeArrowheads="1"/>
                    </pic:cNvPicPr>
                  </pic:nvPicPr>
                  <pic:blipFill>
                    <a:blip r:embed="rId8"/>
                    <a:srcRect/>
                    <a:stretch>
                      <a:fillRect/>
                    </a:stretch>
                  </pic:blipFill>
                  <pic:spPr bwMode="auto">
                    <a:xfrm>
                      <a:off x="0" y="0"/>
                      <a:ext cx="1928495" cy="557530"/>
                    </a:xfrm>
                    <a:prstGeom prst="rect">
                      <a:avLst/>
                    </a:prstGeom>
                    <a:noFill/>
                    <a:ln w="9525">
                      <a:noFill/>
                      <a:miter lim="800000"/>
                      <a:headEnd/>
                      <a:tailEnd/>
                    </a:ln>
                  </pic:spPr>
                </pic:pic>
              </a:graphicData>
            </a:graphic>
          </wp:anchor>
        </w:drawing>
      </w:r>
      <w:r>
        <w:rPr>
          <w:b/>
          <w:noProof/>
          <w:color w:val="008000"/>
          <w:sz w:val="36"/>
          <w:szCs w:val="36"/>
        </w:rPr>
        <w:drawing>
          <wp:anchor distT="0" distB="0" distL="114300" distR="114300" simplePos="0" relativeHeight="251683840" behindDoc="0" locked="0" layoutInCell="1" allowOverlap="1" wp14:anchorId="7565475B" wp14:editId="496F6A4A">
            <wp:simplePos x="0" y="0"/>
            <wp:positionH relativeFrom="column">
              <wp:posOffset>4363085</wp:posOffset>
            </wp:positionH>
            <wp:positionV relativeFrom="paragraph">
              <wp:posOffset>-472440</wp:posOffset>
            </wp:positionV>
            <wp:extent cx="883285" cy="771525"/>
            <wp:effectExtent l="19050" t="0" r="0" b="0"/>
            <wp:wrapSquare wrapText="bothSides"/>
            <wp:docPr id="25" name="Imag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srcRect/>
                    <a:stretch>
                      <a:fillRect/>
                    </a:stretch>
                  </pic:blipFill>
                  <pic:spPr bwMode="auto">
                    <a:xfrm>
                      <a:off x="0" y="0"/>
                      <a:ext cx="883285" cy="771525"/>
                    </a:xfrm>
                    <a:prstGeom prst="rect">
                      <a:avLst/>
                    </a:prstGeom>
                    <a:noFill/>
                    <a:ln w="9525">
                      <a:noFill/>
                      <a:miter lim="800000"/>
                      <a:headEnd/>
                      <a:tailEnd/>
                    </a:ln>
                  </pic:spPr>
                </pic:pic>
              </a:graphicData>
            </a:graphic>
          </wp:anchor>
        </w:drawing>
      </w:r>
      <w:r>
        <w:rPr>
          <w:b/>
          <w:noProof/>
          <w:color w:val="008000"/>
          <w:sz w:val="36"/>
          <w:szCs w:val="36"/>
        </w:rPr>
        <w:drawing>
          <wp:anchor distT="0" distB="0" distL="114300" distR="114300" simplePos="0" relativeHeight="251684864" behindDoc="0" locked="0" layoutInCell="1" allowOverlap="1" wp14:anchorId="524D7904" wp14:editId="01286A05">
            <wp:simplePos x="0" y="0"/>
            <wp:positionH relativeFrom="column">
              <wp:posOffset>520065</wp:posOffset>
            </wp:positionH>
            <wp:positionV relativeFrom="paragraph">
              <wp:posOffset>-579755</wp:posOffset>
            </wp:positionV>
            <wp:extent cx="822960" cy="996950"/>
            <wp:effectExtent l="19050" t="0" r="0" b="0"/>
            <wp:wrapSquare wrapText="bothSides"/>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996950"/>
                    </a:xfrm>
                    <a:prstGeom prst="rect">
                      <a:avLst/>
                    </a:prstGeom>
                    <a:noFill/>
                    <a:ln>
                      <a:noFill/>
                    </a:ln>
                  </pic:spPr>
                </pic:pic>
              </a:graphicData>
            </a:graphic>
          </wp:anchor>
        </w:drawing>
      </w:r>
    </w:p>
    <w:p w14:paraId="7FC2631F" w14:textId="77777777" w:rsidR="00605577" w:rsidRDefault="00605577" w:rsidP="00605577">
      <w:pPr>
        <w:jc w:val="center"/>
        <w:rPr>
          <w:b/>
          <w:sz w:val="36"/>
        </w:rPr>
      </w:pPr>
    </w:p>
    <w:p w14:paraId="5F619951" w14:textId="77777777" w:rsidR="00605577" w:rsidRDefault="00605577" w:rsidP="00605577">
      <w:pPr>
        <w:jc w:val="center"/>
        <w:rPr>
          <w:b/>
          <w:color w:val="008000"/>
          <w:sz w:val="32"/>
        </w:rPr>
      </w:pPr>
      <w:r w:rsidRPr="00973A34">
        <w:rPr>
          <w:b/>
          <w:color w:val="008000"/>
          <w:sz w:val="32"/>
        </w:rPr>
        <w:t xml:space="preserve">POUVOIRS LOCAUX ET </w:t>
      </w:r>
      <w:r w:rsidR="004D52FC">
        <w:rPr>
          <w:b/>
          <w:color w:val="008000"/>
          <w:sz w:val="32"/>
        </w:rPr>
        <w:t>RICHESSES DES</w:t>
      </w:r>
      <w:r w:rsidRPr="00973A34">
        <w:rPr>
          <w:b/>
          <w:color w:val="008000"/>
          <w:sz w:val="32"/>
        </w:rPr>
        <w:t xml:space="preserve"> TERRITOIRE</w:t>
      </w:r>
      <w:r w:rsidR="004D52FC">
        <w:rPr>
          <w:b/>
          <w:color w:val="008000"/>
          <w:sz w:val="32"/>
        </w:rPr>
        <w:t>S</w:t>
      </w:r>
    </w:p>
    <w:p w14:paraId="3E439869" w14:textId="77777777" w:rsidR="00605577" w:rsidRPr="00973A34" w:rsidRDefault="00605577" w:rsidP="00605577">
      <w:pPr>
        <w:jc w:val="center"/>
        <w:rPr>
          <w:b/>
          <w:color w:val="008000"/>
          <w:sz w:val="14"/>
        </w:rPr>
      </w:pPr>
    </w:p>
    <w:p w14:paraId="423AC1C5" w14:textId="77777777" w:rsidR="00605577" w:rsidRPr="00C43370" w:rsidRDefault="00605577" w:rsidP="00605577">
      <w:pPr>
        <w:pBdr>
          <w:bottom w:val="single" w:sz="8" w:space="1" w:color="auto"/>
        </w:pBdr>
        <w:jc w:val="center"/>
        <w:rPr>
          <w:b/>
          <w:color w:val="008000"/>
          <w:sz w:val="18"/>
        </w:rPr>
      </w:pPr>
    </w:p>
    <w:p w14:paraId="6328834C" w14:textId="77777777" w:rsidR="00605577" w:rsidRPr="00973A34" w:rsidRDefault="00605577" w:rsidP="00605577">
      <w:pPr>
        <w:jc w:val="center"/>
        <w:rPr>
          <w:sz w:val="14"/>
        </w:rPr>
      </w:pPr>
    </w:p>
    <w:p w14:paraId="2441E78F" w14:textId="77777777" w:rsidR="00605577" w:rsidRDefault="00605577" w:rsidP="00605577">
      <w:pPr>
        <w:jc w:val="center"/>
        <w:rPr>
          <w:b/>
          <w:sz w:val="36"/>
        </w:rPr>
      </w:pPr>
      <w:r w:rsidRPr="00973A34">
        <w:rPr>
          <w:b/>
          <w:sz w:val="36"/>
        </w:rPr>
        <w:t>PROGRAMME</w:t>
      </w:r>
      <w:r w:rsidR="00E442E7">
        <w:rPr>
          <w:b/>
          <w:sz w:val="36"/>
        </w:rPr>
        <w:t xml:space="preserve"> </w:t>
      </w:r>
      <w:r w:rsidR="00E442E7" w:rsidRPr="00751DEF">
        <w:rPr>
          <w:sz w:val="22"/>
        </w:rPr>
        <w:t>[</w:t>
      </w:r>
      <w:r w:rsidR="00D646CA">
        <w:rPr>
          <w:sz w:val="22"/>
        </w:rPr>
        <w:t>suite]</w:t>
      </w:r>
    </w:p>
    <w:p w14:paraId="0F5D1079" w14:textId="77777777" w:rsidR="00170BA8" w:rsidRDefault="00170BA8" w:rsidP="00170BA8"/>
    <w:p w14:paraId="004DBC4A" w14:textId="77777777" w:rsidR="004260A6" w:rsidRDefault="004260A6" w:rsidP="00170BA8"/>
    <w:p w14:paraId="413D1D8D" w14:textId="77777777" w:rsidR="00445896" w:rsidRPr="00445896" w:rsidRDefault="005D2DE3" w:rsidP="00445896">
      <w:r>
        <w:rPr>
          <w:sz w:val="22"/>
        </w:rPr>
        <w:pict w14:anchorId="0677F3F3">
          <v:rect id="_x0000_i1030" style="width:0;height:1.5pt" o:hralign="center" o:hrstd="t" o:hr="t" fillcolor="#aca899" stroked="f"/>
        </w:pict>
      </w:r>
    </w:p>
    <w:p w14:paraId="60A38CAE" w14:textId="77777777" w:rsidR="00973A34" w:rsidRDefault="00973A34" w:rsidP="00FD773D">
      <w:pPr>
        <w:pStyle w:val="Titre2"/>
        <w:jc w:val="center"/>
      </w:pPr>
      <w:r w:rsidRPr="00FD773D">
        <w:t>14h-15h</w:t>
      </w:r>
      <w:r w:rsidR="00445896">
        <w:t>45</w:t>
      </w:r>
      <w:r w:rsidRPr="00FD773D">
        <w:t xml:space="preserve"> : </w:t>
      </w:r>
      <w:r w:rsidR="004D52FC">
        <w:t>L’or dans tous ses états</w:t>
      </w:r>
      <w:r w:rsidRPr="00FD773D">
        <w:t xml:space="preserve"> </w:t>
      </w:r>
    </w:p>
    <w:p w14:paraId="52708608" w14:textId="77777777" w:rsidR="00445896" w:rsidRPr="00445896" w:rsidRDefault="00445896" w:rsidP="00445896"/>
    <w:p w14:paraId="41D2C23D" w14:textId="77777777" w:rsidR="00603174" w:rsidRDefault="00FD773D" w:rsidP="00445896">
      <w:pPr>
        <w:pStyle w:val="Paragraphedeliste"/>
        <w:ind w:left="360"/>
        <w:jc w:val="both"/>
        <w:rPr>
          <w:b/>
          <w:sz w:val="22"/>
        </w:rPr>
      </w:pPr>
      <w:r w:rsidRPr="00FD773D">
        <w:rPr>
          <w:b/>
          <w:sz w:val="22"/>
        </w:rPr>
        <w:t>L’argent de l’or - Une ethnographie économique de l’orpaillage dans la région sud-ouest du Burkina Faso</w:t>
      </w:r>
    </w:p>
    <w:p w14:paraId="4D727620" w14:textId="77777777" w:rsidR="00FD773D" w:rsidRPr="00445896" w:rsidRDefault="00FD773D" w:rsidP="00445896">
      <w:pPr>
        <w:pStyle w:val="Paragraphedeliste"/>
        <w:ind w:left="360"/>
        <w:jc w:val="both"/>
        <w:rPr>
          <w:b/>
          <w:sz w:val="22"/>
        </w:rPr>
      </w:pPr>
      <w:r>
        <w:rPr>
          <w:i/>
          <w:sz w:val="22"/>
        </w:rPr>
        <w:t>Quentin Mégret – CRE, Université Lumière Lyon II</w:t>
      </w:r>
    </w:p>
    <w:p w14:paraId="3B2A8CE8" w14:textId="77777777" w:rsidR="00445896" w:rsidRPr="00445896" w:rsidRDefault="00445896" w:rsidP="00445896">
      <w:pPr>
        <w:pStyle w:val="Paragraphedeliste"/>
        <w:rPr>
          <w:b/>
          <w:sz w:val="22"/>
        </w:rPr>
      </w:pPr>
    </w:p>
    <w:p w14:paraId="6A6C6D9B" w14:textId="77777777" w:rsidR="00E442E7" w:rsidRDefault="00E442E7" w:rsidP="00445896">
      <w:pPr>
        <w:pStyle w:val="Paragraphedeliste"/>
        <w:ind w:left="360"/>
        <w:jc w:val="both"/>
        <w:rPr>
          <w:b/>
          <w:sz w:val="22"/>
        </w:rPr>
      </w:pPr>
      <w:r w:rsidRPr="00E442E7">
        <w:rPr>
          <w:b/>
          <w:sz w:val="22"/>
        </w:rPr>
        <w:t> L'or un bien public ?</w:t>
      </w:r>
      <w:r>
        <w:rPr>
          <w:rFonts w:ascii="Arial" w:hAnsi="Arial" w:cs="Arial"/>
          <w:color w:val="222222"/>
          <w:shd w:val="clear" w:color="auto" w:fill="FFFFFF"/>
        </w:rPr>
        <w:t> </w:t>
      </w:r>
      <w:r w:rsidR="00445896">
        <w:rPr>
          <w:b/>
          <w:sz w:val="22"/>
        </w:rPr>
        <w:t xml:space="preserve"> </w:t>
      </w:r>
    </w:p>
    <w:p w14:paraId="5CB5BE88" w14:textId="1B1A44A8" w:rsidR="00E75724" w:rsidRDefault="00E75724" w:rsidP="00E75724">
      <w:pPr>
        <w:pStyle w:val="Paragraphedeliste"/>
        <w:ind w:left="360"/>
        <w:jc w:val="both"/>
        <w:rPr>
          <w:i/>
          <w:sz w:val="22"/>
        </w:rPr>
      </w:pPr>
      <w:r w:rsidRPr="00FD773D">
        <w:rPr>
          <w:i/>
          <w:sz w:val="22"/>
        </w:rPr>
        <w:t>Michèle Leclerc</w:t>
      </w:r>
      <w:r>
        <w:rPr>
          <w:i/>
          <w:sz w:val="22"/>
        </w:rPr>
        <w:t xml:space="preserve">-Olive, </w:t>
      </w:r>
      <w:r w:rsidR="000E3548">
        <w:rPr>
          <w:i/>
          <w:sz w:val="22"/>
        </w:rPr>
        <w:t xml:space="preserve">RIAM, </w:t>
      </w:r>
      <w:r>
        <w:rPr>
          <w:i/>
          <w:sz w:val="22"/>
        </w:rPr>
        <w:t>IRIS, EHESS</w:t>
      </w:r>
    </w:p>
    <w:p w14:paraId="435B3E79" w14:textId="77777777" w:rsidR="00603174" w:rsidRPr="00FD773D" w:rsidRDefault="00603174" w:rsidP="00445896">
      <w:pPr>
        <w:pStyle w:val="Paragraphedeliste"/>
        <w:ind w:left="360"/>
        <w:jc w:val="both"/>
        <w:rPr>
          <w:b/>
          <w:sz w:val="22"/>
        </w:rPr>
      </w:pPr>
    </w:p>
    <w:p w14:paraId="1E788459" w14:textId="77777777" w:rsidR="00445896" w:rsidRPr="00445896" w:rsidRDefault="005D2DE3" w:rsidP="00445896">
      <w:pPr>
        <w:jc w:val="both"/>
        <w:rPr>
          <w:b/>
          <w:sz w:val="22"/>
        </w:rPr>
      </w:pPr>
      <w:r>
        <w:rPr>
          <w:sz w:val="22"/>
        </w:rPr>
        <w:pict w14:anchorId="42D6523F">
          <v:rect id="_x0000_i1031" style="width:0;height:1.5pt" o:hralign="center" o:hrstd="t" o:hr="t" fillcolor="#aca899" stroked="f"/>
        </w:pict>
      </w:r>
    </w:p>
    <w:p w14:paraId="1079FC63" w14:textId="77777777" w:rsidR="00973A34" w:rsidRPr="00445896" w:rsidRDefault="00973A34" w:rsidP="00445896">
      <w:pPr>
        <w:pStyle w:val="Titre2"/>
        <w:jc w:val="center"/>
      </w:pPr>
      <w:r w:rsidRPr="00445896">
        <w:t>15h</w:t>
      </w:r>
      <w:r w:rsidR="00445896">
        <w:t>45</w:t>
      </w:r>
      <w:r w:rsidRPr="00445896">
        <w:t>-1</w:t>
      </w:r>
      <w:r w:rsidR="00445896">
        <w:t>6</w:t>
      </w:r>
      <w:r w:rsidRPr="00445896">
        <w:t>h : pause</w:t>
      </w:r>
      <w:r w:rsidR="005D2DE3">
        <w:rPr>
          <w:sz w:val="22"/>
        </w:rPr>
        <w:pict w14:anchorId="331E1D3A">
          <v:rect id="_x0000_i1032" style="width:0;height:1.5pt" o:hralign="center" o:hrstd="t" o:hr="t" fillcolor="#aca899" stroked="f"/>
        </w:pict>
      </w:r>
    </w:p>
    <w:p w14:paraId="32D42254" w14:textId="77777777" w:rsidR="00973A34" w:rsidRDefault="00973A34" w:rsidP="00445896">
      <w:pPr>
        <w:pStyle w:val="Titre2"/>
        <w:jc w:val="center"/>
      </w:pPr>
      <w:r w:rsidRPr="00445896">
        <w:t>1</w:t>
      </w:r>
      <w:r w:rsidR="00445896">
        <w:t>6</w:t>
      </w:r>
      <w:r w:rsidRPr="00445896">
        <w:t>h</w:t>
      </w:r>
      <w:r w:rsidR="00445896">
        <w:t>-1</w:t>
      </w:r>
      <w:r w:rsidR="00E8011B">
        <w:t>8h</w:t>
      </w:r>
      <w:r w:rsidR="004D52FC">
        <w:t xml:space="preserve"> </w:t>
      </w:r>
      <w:r w:rsidR="00445896">
        <w:t xml:space="preserve">: </w:t>
      </w:r>
      <w:r w:rsidR="00D646CA">
        <w:t>Richesses des territoires et mondialisation</w:t>
      </w:r>
      <w:r w:rsidR="00445896">
        <w:t xml:space="preserve"> </w:t>
      </w:r>
    </w:p>
    <w:p w14:paraId="0F35CB7B" w14:textId="642CF9C9" w:rsidR="00445896" w:rsidRPr="00697E9D" w:rsidRDefault="00445896" w:rsidP="00445896">
      <w:pPr>
        <w:pStyle w:val="Paragraphedeliste"/>
        <w:ind w:left="360"/>
        <w:jc w:val="center"/>
        <w:rPr>
          <w:i/>
          <w:sz w:val="22"/>
        </w:rPr>
      </w:pPr>
    </w:p>
    <w:p w14:paraId="1DCBF4CB" w14:textId="77777777" w:rsidR="004D52FC" w:rsidRDefault="004D52FC" w:rsidP="004D52FC">
      <w:pPr>
        <w:pStyle w:val="Paragraphedeliste"/>
        <w:ind w:left="360"/>
        <w:jc w:val="both"/>
        <w:rPr>
          <w:b/>
          <w:sz w:val="22"/>
        </w:rPr>
      </w:pPr>
    </w:p>
    <w:p w14:paraId="347AD1AF" w14:textId="77777777" w:rsidR="004D52FC" w:rsidRDefault="004D52FC" w:rsidP="004D52FC">
      <w:pPr>
        <w:pStyle w:val="Paragraphedeliste"/>
        <w:ind w:left="360"/>
        <w:jc w:val="both"/>
        <w:rPr>
          <w:b/>
          <w:sz w:val="22"/>
        </w:rPr>
      </w:pPr>
      <w:r>
        <w:rPr>
          <w:b/>
          <w:sz w:val="22"/>
        </w:rPr>
        <w:t>Le Canada comme paradis du secteur minier mondial</w:t>
      </w:r>
      <w:r w:rsidRPr="00973A34">
        <w:rPr>
          <w:b/>
          <w:sz w:val="22"/>
        </w:rPr>
        <w:t> </w:t>
      </w:r>
    </w:p>
    <w:p w14:paraId="66CAFA6B" w14:textId="77777777" w:rsidR="004D52FC" w:rsidRPr="00445896" w:rsidRDefault="004D52FC" w:rsidP="004D52FC">
      <w:pPr>
        <w:pStyle w:val="Paragraphedeliste"/>
        <w:ind w:left="360"/>
        <w:jc w:val="both"/>
        <w:rPr>
          <w:b/>
          <w:sz w:val="22"/>
        </w:rPr>
      </w:pPr>
      <w:r>
        <w:rPr>
          <w:i/>
          <w:sz w:val="22"/>
        </w:rPr>
        <w:t xml:space="preserve">Alain </w:t>
      </w:r>
      <w:proofErr w:type="spellStart"/>
      <w:r>
        <w:rPr>
          <w:i/>
          <w:sz w:val="22"/>
        </w:rPr>
        <w:t>Deneault</w:t>
      </w:r>
      <w:proofErr w:type="spellEnd"/>
      <w:r>
        <w:rPr>
          <w:i/>
          <w:sz w:val="22"/>
        </w:rPr>
        <w:t xml:space="preserve"> – Université de Montréal</w:t>
      </w:r>
    </w:p>
    <w:p w14:paraId="13F5BE87" w14:textId="77777777" w:rsidR="00E8011B" w:rsidRDefault="00E8011B" w:rsidP="00E8011B">
      <w:pPr>
        <w:pStyle w:val="Paragraphedeliste"/>
        <w:ind w:left="426"/>
        <w:jc w:val="both"/>
        <w:rPr>
          <w:rFonts w:cs="Calibri"/>
          <w:color w:val="1D3A68"/>
          <w:sz w:val="22"/>
          <w:szCs w:val="22"/>
        </w:rPr>
      </w:pPr>
    </w:p>
    <w:p w14:paraId="559B0AD9" w14:textId="77777777" w:rsidR="00445896" w:rsidRDefault="00E8011B" w:rsidP="00E8011B">
      <w:pPr>
        <w:pStyle w:val="Paragraphedeliste"/>
        <w:ind w:left="426"/>
        <w:jc w:val="both"/>
        <w:rPr>
          <w:rFonts w:cs="Calibri"/>
          <w:b/>
          <w:i/>
          <w:sz w:val="22"/>
          <w:szCs w:val="22"/>
        </w:rPr>
      </w:pPr>
      <w:r w:rsidRPr="00E8011B">
        <w:rPr>
          <w:rFonts w:cs="Calibri"/>
          <w:b/>
          <w:i/>
          <w:sz w:val="22"/>
          <w:szCs w:val="22"/>
        </w:rPr>
        <w:t>Vers quelles collaborations entre citoyens, organisations de la société civile et chercheurs ?</w:t>
      </w:r>
    </w:p>
    <w:p w14:paraId="37FBFD73" w14:textId="77777777" w:rsidR="00E8011B" w:rsidRPr="00E8011B" w:rsidRDefault="00E8011B" w:rsidP="00E8011B">
      <w:pPr>
        <w:pStyle w:val="Paragraphedeliste"/>
        <w:ind w:left="426"/>
        <w:jc w:val="both"/>
        <w:rPr>
          <w:i/>
          <w:sz w:val="22"/>
          <w:szCs w:val="22"/>
        </w:rPr>
      </w:pPr>
      <w:r w:rsidRPr="00E8011B">
        <w:rPr>
          <w:i/>
          <w:sz w:val="22"/>
          <w:szCs w:val="22"/>
        </w:rPr>
        <w:t xml:space="preserve">Yanick </w:t>
      </w:r>
      <w:proofErr w:type="spellStart"/>
      <w:r w:rsidRPr="00E8011B">
        <w:rPr>
          <w:i/>
          <w:sz w:val="22"/>
          <w:szCs w:val="22"/>
        </w:rPr>
        <w:t>Lasica</w:t>
      </w:r>
      <w:proofErr w:type="spellEnd"/>
      <w:r w:rsidRPr="00E8011B">
        <w:rPr>
          <w:i/>
          <w:sz w:val="22"/>
          <w:szCs w:val="22"/>
        </w:rPr>
        <w:t xml:space="preserve">, Fondation </w:t>
      </w:r>
      <w:r>
        <w:rPr>
          <w:i/>
          <w:sz w:val="22"/>
          <w:szCs w:val="22"/>
        </w:rPr>
        <w:t>Scie</w:t>
      </w:r>
      <w:r w:rsidRPr="00E8011B">
        <w:rPr>
          <w:i/>
          <w:sz w:val="22"/>
          <w:szCs w:val="22"/>
        </w:rPr>
        <w:t>n</w:t>
      </w:r>
      <w:r>
        <w:rPr>
          <w:i/>
          <w:sz w:val="22"/>
          <w:szCs w:val="22"/>
        </w:rPr>
        <w:t>c</w:t>
      </w:r>
      <w:r w:rsidRPr="00E8011B">
        <w:rPr>
          <w:i/>
          <w:sz w:val="22"/>
          <w:szCs w:val="22"/>
        </w:rPr>
        <w:t>es citoyennes</w:t>
      </w:r>
    </w:p>
    <w:p w14:paraId="5936FDB7" w14:textId="77777777" w:rsidR="00603174" w:rsidRPr="00A6319F" w:rsidRDefault="00603174" w:rsidP="00A6319F">
      <w:pPr>
        <w:ind w:firstLine="360"/>
        <w:jc w:val="both"/>
        <w:rPr>
          <w:b/>
          <w:sz w:val="22"/>
        </w:rPr>
      </w:pPr>
    </w:p>
    <w:p w14:paraId="2DB046A0" w14:textId="77777777" w:rsidR="00445896" w:rsidRPr="00445896" w:rsidRDefault="005D2DE3" w:rsidP="00445896">
      <w:pPr>
        <w:jc w:val="both"/>
        <w:rPr>
          <w:b/>
          <w:sz w:val="22"/>
        </w:rPr>
      </w:pPr>
      <w:r>
        <w:rPr>
          <w:sz w:val="22"/>
        </w:rPr>
        <w:pict w14:anchorId="25540899">
          <v:rect id="_x0000_i1033" style="width:0;height:1.5pt" o:hralign="center" o:hrstd="t" o:hr="t" fillcolor="#aca899" stroked="f"/>
        </w:pict>
      </w:r>
    </w:p>
    <w:p w14:paraId="5E92263D" w14:textId="77777777" w:rsidR="00E8011B" w:rsidRDefault="00E8011B" w:rsidP="00445896">
      <w:pPr>
        <w:pStyle w:val="Titre2"/>
        <w:jc w:val="center"/>
      </w:pPr>
      <w:r>
        <w:t>18h Allocution de clôture</w:t>
      </w:r>
      <w:r w:rsidR="00D646CA">
        <w:t xml:space="preserve"> (Conseil Général du Pas-de-Calais)</w:t>
      </w:r>
    </w:p>
    <w:p w14:paraId="27D1E241" w14:textId="77777777" w:rsidR="00973A34" w:rsidRPr="00445896" w:rsidRDefault="00973A34" w:rsidP="00445896">
      <w:pPr>
        <w:pStyle w:val="Titre2"/>
        <w:jc w:val="center"/>
      </w:pPr>
      <w:r w:rsidRPr="00E8011B">
        <w:t xml:space="preserve"> </w:t>
      </w:r>
      <w:r w:rsidR="004D52FC" w:rsidRPr="00E8011B">
        <w:t>Cocktail</w:t>
      </w:r>
      <w:r w:rsidR="00A6319F">
        <w:rPr>
          <w:i/>
        </w:rPr>
        <w:t xml:space="preserve"> </w:t>
      </w:r>
      <w:r w:rsidR="005D2DE3">
        <w:rPr>
          <w:sz w:val="22"/>
        </w:rPr>
        <w:pict w14:anchorId="23DA96D9">
          <v:rect id="_x0000_i1034" style="width:0;height:1.5pt" o:hralign="center" o:hrstd="t" o:hr="t" fillcolor="#aca899" stroked="f"/>
        </w:pict>
      </w:r>
    </w:p>
    <w:p w14:paraId="39E1A743" w14:textId="77777777" w:rsidR="00A6319F" w:rsidRDefault="00A6319F" w:rsidP="00A6319F">
      <w:pPr>
        <w:jc w:val="both"/>
        <w:rPr>
          <w:sz w:val="22"/>
        </w:rPr>
      </w:pPr>
    </w:p>
    <w:p w14:paraId="20DA9267" w14:textId="77777777" w:rsidR="00D646CA" w:rsidRDefault="00D646CA">
      <w:pPr>
        <w:rPr>
          <w:sz w:val="22"/>
        </w:rPr>
      </w:pPr>
      <w:r>
        <w:rPr>
          <w:sz w:val="22"/>
        </w:rPr>
        <w:br w:type="page"/>
      </w:r>
    </w:p>
    <w:p w14:paraId="7C2F43D2" w14:textId="77777777" w:rsidR="00A6319F" w:rsidRDefault="00A6319F" w:rsidP="00A6319F">
      <w:pPr>
        <w:jc w:val="both"/>
        <w:rPr>
          <w:sz w:val="22"/>
        </w:rPr>
      </w:pPr>
    </w:p>
    <w:p w14:paraId="3C49B74A" w14:textId="77777777" w:rsidR="00A6319F" w:rsidRDefault="00A6319F" w:rsidP="00A6319F">
      <w:pPr>
        <w:jc w:val="both"/>
        <w:rPr>
          <w:sz w:val="22"/>
        </w:rPr>
      </w:pPr>
    </w:p>
    <w:p w14:paraId="73097037" w14:textId="77777777" w:rsidR="00D646CA" w:rsidRDefault="00D646CA" w:rsidP="00D646CA">
      <w:pPr>
        <w:jc w:val="center"/>
      </w:pPr>
    </w:p>
    <w:p w14:paraId="4C22E21E" w14:textId="77777777" w:rsidR="00D646CA" w:rsidRDefault="00D646CA" w:rsidP="00D646CA">
      <w:pPr>
        <w:jc w:val="center"/>
        <w:rPr>
          <w:b/>
          <w:color w:val="008000"/>
        </w:rPr>
      </w:pPr>
    </w:p>
    <w:p w14:paraId="714987B7" w14:textId="77777777" w:rsidR="00D646CA" w:rsidRPr="00C43370" w:rsidRDefault="00D646CA" w:rsidP="00D646CA">
      <w:pPr>
        <w:jc w:val="center"/>
        <w:rPr>
          <w:b/>
          <w:color w:val="008000"/>
          <w:sz w:val="36"/>
        </w:rPr>
      </w:pPr>
      <w:r>
        <w:rPr>
          <w:b/>
          <w:color w:val="008000"/>
          <w:sz w:val="36"/>
        </w:rPr>
        <w:t>POUVOIRS LOCAUX ET RICHESSES DES</w:t>
      </w:r>
      <w:r w:rsidRPr="00C43370">
        <w:rPr>
          <w:b/>
          <w:color w:val="008000"/>
          <w:sz w:val="36"/>
        </w:rPr>
        <w:t xml:space="preserve"> TERRITOIRE</w:t>
      </w:r>
      <w:r>
        <w:rPr>
          <w:b/>
          <w:color w:val="008000"/>
          <w:sz w:val="36"/>
        </w:rPr>
        <w:t>S</w:t>
      </w:r>
    </w:p>
    <w:p w14:paraId="2CE86A1F" w14:textId="77777777" w:rsidR="00D646CA" w:rsidRPr="00C43370" w:rsidRDefault="00D646CA" w:rsidP="00D646CA">
      <w:pPr>
        <w:pBdr>
          <w:bottom w:val="single" w:sz="8" w:space="1" w:color="auto"/>
        </w:pBdr>
        <w:jc w:val="center"/>
        <w:rPr>
          <w:b/>
          <w:color w:val="008000"/>
          <w:sz w:val="18"/>
        </w:rPr>
      </w:pPr>
    </w:p>
    <w:p w14:paraId="6B3BFDCD" w14:textId="77777777" w:rsidR="00D646CA" w:rsidRPr="00C43370" w:rsidRDefault="00D646CA" w:rsidP="00D646CA">
      <w:pPr>
        <w:jc w:val="center"/>
        <w:rPr>
          <w:sz w:val="18"/>
        </w:rPr>
      </w:pPr>
    </w:p>
    <w:p w14:paraId="778499CE" w14:textId="77777777" w:rsidR="00D646CA" w:rsidRPr="00D646CA" w:rsidRDefault="00D646CA" w:rsidP="00D646CA">
      <w:pPr>
        <w:jc w:val="center"/>
        <w:rPr>
          <w:bCs/>
          <w:smallCaps/>
        </w:rPr>
      </w:pPr>
      <w:r w:rsidRPr="00D646CA">
        <w:rPr>
          <w:b/>
          <w:bCs/>
          <w:smallCaps/>
        </w:rPr>
        <w:t>Argumentaire</w:t>
      </w:r>
    </w:p>
    <w:p w14:paraId="350D6940" w14:textId="77777777" w:rsidR="00D646CA" w:rsidRDefault="00D646CA" w:rsidP="00D646CA">
      <w:pPr>
        <w:jc w:val="both"/>
      </w:pPr>
    </w:p>
    <w:p w14:paraId="5E8B8800" w14:textId="77777777" w:rsidR="00D646CA" w:rsidRDefault="00D646CA" w:rsidP="00D646CA">
      <w:pPr>
        <w:jc w:val="both"/>
      </w:pPr>
    </w:p>
    <w:p w14:paraId="29ED5A58" w14:textId="77777777" w:rsidR="00D646CA" w:rsidRDefault="00D646CA" w:rsidP="00D646CA">
      <w:pPr>
        <w:jc w:val="both"/>
      </w:pPr>
      <w:r w:rsidRPr="0067580F">
        <w:t xml:space="preserve">Au cours des vingt dernières années, le nombre de programmes de contrôle, d’extraction et d’exportation de biens naturels a considérablement augmenté, tant en Afrique qu’en Amérique latine et en Asie. </w:t>
      </w:r>
      <w:r>
        <w:t>Que les pays riches en ressources soient spoliés de leurs richesses n’est pas nouveau. Mais l’accélération et la généralisation de ces pratiques requièrent une attention renouvelée : q</w:t>
      </w:r>
      <w:r w:rsidRPr="0067580F">
        <w:t>u’il s’agisse des r</w:t>
      </w:r>
      <w:r>
        <w:t>ichesses</w:t>
      </w:r>
      <w:r w:rsidRPr="0067580F">
        <w:t xml:space="preserve"> du sous-sol ou de terres cultivables, </w:t>
      </w:r>
      <w:r>
        <w:t xml:space="preserve">les matières premières de ces pays sont convoitées par </w:t>
      </w:r>
      <w:r w:rsidRPr="0067580F">
        <w:t>de grandes sociétés, m</w:t>
      </w:r>
      <w:r>
        <w:t xml:space="preserve">ultinationales pour la plupart. Il paraît expédient de rapprocher les recherches innovantes que ces évolutions suscitent, menés notamment au nom des droits humains et du respect de l’environnement. </w:t>
      </w:r>
    </w:p>
    <w:p w14:paraId="11AF9C7E" w14:textId="635D3735" w:rsidR="00D646CA" w:rsidRDefault="00D646CA" w:rsidP="00D646CA">
      <w:pPr>
        <w:jc w:val="both"/>
      </w:pPr>
      <w:r>
        <w:t xml:space="preserve">La journée d’étude internationale, </w:t>
      </w:r>
      <w:r w:rsidRPr="000B0861">
        <w:rPr>
          <w:i/>
        </w:rPr>
        <w:t>Pouvoi</w:t>
      </w:r>
      <w:r w:rsidR="003E0F20">
        <w:rPr>
          <w:i/>
        </w:rPr>
        <w:t>rs locaux et richesses des</w:t>
      </w:r>
      <w:r w:rsidRPr="000B0861">
        <w:rPr>
          <w:i/>
        </w:rPr>
        <w:t xml:space="preserve"> territoire</w:t>
      </w:r>
      <w:r w:rsidR="003E0F20">
        <w:rPr>
          <w:i/>
        </w:rPr>
        <w:t>s</w:t>
      </w:r>
      <w:r w:rsidRPr="000B0861">
        <w:rPr>
          <w:i/>
        </w:rPr>
        <w:t>,</w:t>
      </w:r>
      <w:r w:rsidR="003E0F20">
        <w:rPr>
          <w:i/>
        </w:rPr>
        <w:t xml:space="preserve"> </w:t>
      </w:r>
      <w:r>
        <w:t xml:space="preserve">souhaite participer  à ce nécessaire rapprochement de travaux sur les exploitations des ressources naturelles, afin de permettre la formulation de problématiques communes. Elle entend également y apporter une contribution spécifique en centrant la réflexion sur la place accordée  aux pouvoirs locaux dans les dispositifs de décision, de gestion et de contrôle de celles-ci. </w:t>
      </w:r>
    </w:p>
    <w:p w14:paraId="19133BEF" w14:textId="6B59A109" w:rsidR="00D646CA" w:rsidRPr="0067580F" w:rsidRDefault="00D646CA" w:rsidP="00D646CA">
      <w:pPr>
        <w:jc w:val="both"/>
      </w:pPr>
      <w:r>
        <w:t xml:space="preserve">En effet, les </w:t>
      </w:r>
      <w:proofErr w:type="spellStart"/>
      <w:r w:rsidRPr="0067580F">
        <w:t>Etats</w:t>
      </w:r>
      <w:proofErr w:type="spellEnd"/>
      <w:r w:rsidRPr="0067580F">
        <w:t xml:space="preserve"> négocient directement avec </w:t>
      </w:r>
      <w:r>
        <w:t>ces grandes sociétés étrangères,</w:t>
      </w:r>
      <w:r w:rsidRPr="0067580F">
        <w:t xml:space="preserve"> leur offrent des conditions avantageuses, alors que les pouvoirs locaux  assistent à l’arrivée</w:t>
      </w:r>
      <w:r w:rsidR="003E0F20">
        <w:t xml:space="preserve"> </w:t>
      </w:r>
      <w:r w:rsidRPr="0067580F">
        <w:t>sur leur territoire d’entreprises, parfois arrogantes,</w:t>
      </w:r>
      <w:r w:rsidR="003E0F20">
        <w:t xml:space="preserve"> </w:t>
      </w:r>
      <w:r w:rsidRPr="0067580F">
        <w:t>dont les pratiques bousculent  les dynamiques socio-économiques locales</w:t>
      </w:r>
      <w:r>
        <w:t xml:space="preserve"> et que les pratiques artisanales d’exploitation des minerais sont  très largement décriées</w:t>
      </w:r>
      <w:r w:rsidRPr="0067580F">
        <w:t xml:space="preserve">. </w:t>
      </w:r>
    </w:p>
    <w:p w14:paraId="11EEEF1B" w14:textId="77777777" w:rsidR="00D646CA" w:rsidRPr="0067580F" w:rsidRDefault="00D646CA" w:rsidP="00D646CA">
      <w:pPr>
        <w:jc w:val="both"/>
        <w:rPr>
          <w:rFonts w:cs="Arial"/>
        </w:rPr>
      </w:pPr>
      <w:r w:rsidRPr="0067580F">
        <w:rPr>
          <w:rFonts w:cs="Arial"/>
        </w:rPr>
        <w:t>Les pouvoirs locaux se trouvent ainsi le plus souvent dans une situation paradoxale. D’un côté, l’</w:t>
      </w:r>
      <w:proofErr w:type="spellStart"/>
      <w:r w:rsidRPr="0067580F">
        <w:rPr>
          <w:rFonts w:cs="Arial"/>
        </w:rPr>
        <w:t>Etat</w:t>
      </w:r>
      <w:proofErr w:type="spellEnd"/>
      <w:r>
        <w:rPr>
          <w:rFonts w:cs="Arial"/>
        </w:rPr>
        <w:t>,</w:t>
      </w:r>
      <w:r w:rsidRPr="0067580F">
        <w:rPr>
          <w:rFonts w:cs="Arial"/>
        </w:rPr>
        <w:t xml:space="preserve"> unique interlocuteur des compagnies minières et des grandes sociétés multinationales, accorde en général à celles-ci une fiscalité complaisante. De l’autre, les pouvoirs locaux ne disposent pas des ressources, techniques</w:t>
      </w:r>
      <w:r>
        <w:rPr>
          <w:rFonts w:cs="Arial"/>
        </w:rPr>
        <w:t>, administratives ou</w:t>
      </w:r>
      <w:r w:rsidRPr="0067580F">
        <w:rPr>
          <w:rFonts w:cs="Arial"/>
        </w:rPr>
        <w:t xml:space="preserve"> financières</w:t>
      </w:r>
      <w:r>
        <w:rPr>
          <w:rFonts w:cs="Arial"/>
        </w:rPr>
        <w:t xml:space="preserve">, </w:t>
      </w:r>
      <w:r w:rsidRPr="0067580F">
        <w:rPr>
          <w:rFonts w:cs="Arial"/>
        </w:rPr>
        <w:t xml:space="preserve"> pour faire face aux nouveaux besoins sociaux et environnementaux créés par ces activités. </w:t>
      </w:r>
    </w:p>
    <w:p w14:paraId="1657A9E4" w14:textId="77777777" w:rsidR="00D646CA" w:rsidRDefault="00D646CA" w:rsidP="00D646CA">
      <w:pPr>
        <w:jc w:val="both"/>
        <w:rPr>
          <w:rFonts w:cs="Arial"/>
        </w:rPr>
      </w:pPr>
      <w:r>
        <w:rPr>
          <w:rFonts w:cs="Arial"/>
        </w:rPr>
        <w:t>Mais plus encore, a</w:t>
      </w:r>
      <w:r w:rsidRPr="0067580F">
        <w:rPr>
          <w:rFonts w:cs="Arial"/>
        </w:rPr>
        <w:t>u-delà de ces enjeux fiscaux, l’</w:t>
      </w:r>
      <w:r>
        <w:rPr>
          <w:rFonts w:cs="Arial"/>
        </w:rPr>
        <w:t>ampleur et les formes de l’</w:t>
      </w:r>
      <w:r w:rsidRPr="0067580F">
        <w:rPr>
          <w:rFonts w:cs="Arial"/>
        </w:rPr>
        <w:t>exploitation des biens naturels que sont les ressources minières et les terres agricoles et forestières, ne f</w:t>
      </w:r>
      <w:r>
        <w:rPr>
          <w:rFonts w:cs="Arial"/>
        </w:rPr>
        <w:t>ont</w:t>
      </w:r>
      <w:r w:rsidRPr="0067580F">
        <w:rPr>
          <w:rFonts w:cs="Arial"/>
        </w:rPr>
        <w:t xml:space="preserve"> pas l’objet d’une politique concertée, transparente et négociée entre tous les pouvoirs qui ont la responsabilité du bien public et de l’avenir du pays. </w:t>
      </w:r>
    </w:p>
    <w:p w14:paraId="3C1D4374" w14:textId="77777777" w:rsidR="00D646CA" w:rsidRPr="00C43370" w:rsidRDefault="00D646CA" w:rsidP="00D646CA">
      <w:pPr>
        <w:jc w:val="both"/>
        <w:rPr>
          <w:rFonts w:cs="Arial"/>
        </w:rPr>
      </w:pPr>
      <w:r>
        <w:rPr>
          <w:rFonts w:cs="Arial"/>
        </w:rPr>
        <w:t xml:space="preserve">Cette journée d’étude se donne pour objectif de confronter diverses situations locales, notamment en Afrique subsaharienne, pour dégager de leur analyse comparative des éléments de compréhension susceptibles d’éclairer le rôle que peuvent jouer les pouvoirs locaux en vue de politiques nationales à la fois respectueuses des droits humains, de l’environnement et de nature à générer un développement équitable, conduit démocratiquement. </w:t>
      </w:r>
    </w:p>
    <w:p w14:paraId="49B198C0" w14:textId="77777777" w:rsidR="00605577" w:rsidRPr="0022030C" w:rsidRDefault="00605577" w:rsidP="00605577">
      <w:pPr>
        <w:jc w:val="center"/>
        <w:rPr>
          <w:b/>
          <w:color w:val="008000"/>
          <w:sz w:val="36"/>
          <w:szCs w:val="36"/>
        </w:rPr>
      </w:pPr>
    </w:p>
    <w:p w14:paraId="3D3DCEE6" w14:textId="77777777" w:rsidR="00605577" w:rsidRDefault="00605577" w:rsidP="00605577">
      <w:pPr>
        <w:jc w:val="center"/>
        <w:rPr>
          <w:b/>
          <w:sz w:val="36"/>
        </w:rPr>
      </w:pPr>
    </w:p>
    <w:p w14:paraId="07371C88" w14:textId="77777777" w:rsidR="00605577" w:rsidRDefault="00605577" w:rsidP="00605577">
      <w:pPr>
        <w:jc w:val="center"/>
        <w:rPr>
          <w:b/>
          <w:color w:val="008000"/>
          <w:sz w:val="32"/>
        </w:rPr>
      </w:pPr>
      <w:r w:rsidRPr="00973A34">
        <w:rPr>
          <w:b/>
          <w:color w:val="008000"/>
          <w:sz w:val="32"/>
        </w:rPr>
        <w:lastRenderedPageBreak/>
        <w:t>POUVOIRS LOCAUX ET RICHESSES D</w:t>
      </w:r>
      <w:r w:rsidR="00D646CA">
        <w:rPr>
          <w:b/>
          <w:color w:val="008000"/>
          <w:sz w:val="32"/>
        </w:rPr>
        <w:t>ES</w:t>
      </w:r>
      <w:r w:rsidRPr="00973A34">
        <w:rPr>
          <w:b/>
          <w:color w:val="008000"/>
          <w:sz w:val="32"/>
        </w:rPr>
        <w:t xml:space="preserve"> TERRITOIRE</w:t>
      </w:r>
      <w:r w:rsidR="00D646CA">
        <w:rPr>
          <w:b/>
          <w:color w:val="008000"/>
          <w:sz w:val="32"/>
        </w:rPr>
        <w:t>S</w:t>
      </w:r>
    </w:p>
    <w:p w14:paraId="684E521D" w14:textId="77777777" w:rsidR="00605577" w:rsidRPr="00973A34" w:rsidRDefault="00605577" w:rsidP="00605577">
      <w:pPr>
        <w:jc w:val="center"/>
        <w:rPr>
          <w:b/>
          <w:color w:val="008000"/>
          <w:sz w:val="14"/>
        </w:rPr>
      </w:pPr>
    </w:p>
    <w:p w14:paraId="1FB11208" w14:textId="77777777" w:rsidR="00605577" w:rsidRPr="00973A34" w:rsidRDefault="00605577" w:rsidP="00605577">
      <w:pPr>
        <w:jc w:val="center"/>
        <w:rPr>
          <w:b/>
          <w:sz w:val="20"/>
        </w:rPr>
      </w:pPr>
      <w:r w:rsidRPr="00973A34">
        <w:rPr>
          <w:b/>
          <w:sz w:val="20"/>
        </w:rPr>
        <w:t>Journée d’étude internationale 2 juin 2014</w:t>
      </w:r>
    </w:p>
    <w:p w14:paraId="670D7B2B" w14:textId="77777777" w:rsidR="00605577" w:rsidRPr="00C43370" w:rsidRDefault="00605577" w:rsidP="00605577">
      <w:pPr>
        <w:pBdr>
          <w:bottom w:val="single" w:sz="8" w:space="1" w:color="auto"/>
        </w:pBdr>
        <w:jc w:val="center"/>
        <w:rPr>
          <w:b/>
          <w:color w:val="008000"/>
          <w:sz w:val="18"/>
        </w:rPr>
      </w:pPr>
    </w:p>
    <w:p w14:paraId="0B3B1EA7" w14:textId="77777777" w:rsidR="00605577" w:rsidRPr="00973A34" w:rsidRDefault="00605577" w:rsidP="00605577">
      <w:pPr>
        <w:jc w:val="center"/>
        <w:rPr>
          <w:sz w:val="14"/>
        </w:rPr>
      </w:pPr>
    </w:p>
    <w:p w14:paraId="7613B412" w14:textId="77777777" w:rsidR="00605577" w:rsidRDefault="00605577" w:rsidP="00605577">
      <w:pPr>
        <w:jc w:val="center"/>
        <w:rPr>
          <w:b/>
          <w:sz w:val="36"/>
        </w:rPr>
      </w:pPr>
      <w:r>
        <w:rPr>
          <w:b/>
          <w:sz w:val="36"/>
        </w:rPr>
        <w:t>COMMUNICATIONS</w:t>
      </w:r>
    </w:p>
    <w:p w14:paraId="6CF01AB6" w14:textId="77777777" w:rsidR="00AB2C0D" w:rsidRDefault="00AB2C0D" w:rsidP="00605577">
      <w:pPr>
        <w:pStyle w:val="Paragraphedeliste"/>
        <w:jc w:val="both"/>
        <w:rPr>
          <w:b/>
          <w:sz w:val="36"/>
        </w:rPr>
      </w:pPr>
    </w:p>
    <w:p w14:paraId="523DA1D7" w14:textId="77777777" w:rsidR="00AB2C0D" w:rsidRDefault="00AB2C0D" w:rsidP="00AB2C0D">
      <w:pPr>
        <w:jc w:val="center"/>
        <w:rPr>
          <w:b/>
          <w:sz w:val="36"/>
        </w:rPr>
      </w:pPr>
    </w:p>
    <w:p w14:paraId="21769A56" w14:textId="77777777" w:rsidR="00AB2C0D" w:rsidRDefault="00AB2C0D" w:rsidP="00AB2C0D">
      <w:pPr>
        <w:jc w:val="both"/>
        <w:rPr>
          <w:sz w:val="22"/>
        </w:rPr>
      </w:pPr>
    </w:p>
    <w:p w14:paraId="5E0B97ED" w14:textId="77777777" w:rsidR="00AB2C0D" w:rsidRDefault="00AB2C0D" w:rsidP="00690F5E">
      <w:pPr>
        <w:pBdr>
          <w:top w:val="single" w:sz="4" w:space="1" w:color="auto"/>
          <w:left w:val="single" w:sz="4" w:space="4" w:color="auto"/>
          <w:bottom w:val="single" w:sz="4" w:space="1" w:color="auto"/>
          <w:right w:val="single" w:sz="4" w:space="4" w:color="auto"/>
        </w:pBdr>
        <w:jc w:val="both"/>
        <w:rPr>
          <w:i/>
          <w:sz w:val="22"/>
        </w:rPr>
      </w:pPr>
      <w:r>
        <w:rPr>
          <w:sz w:val="22"/>
        </w:rPr>
        <w:t>Première session</w:t>
      </w:r>
      <w:r w:rsidR="00690F5E">
        <w:rPr>
          <w:sz w:val="22"/>
        </w:rPr>
        <w:t> :</w:t>
      </w:r>
      <w:r>
        <w:rPr>
          <w:sz w:val="22"/>
        </w:rPr>
        <w:t xml:space="preserve"> </w:t>
      </w:r>
      <w:r w:rsidR="00D646CA">
        <w:rPr>
          <w:b/>
          <w:sz w:val="22"/>
        </w:rPr>
        <w:t xml:space="preserve">Sol, sous-sol et communautés – </w:t>
      </w:r>
      <w:r w:rsidR="00D646CA" w:rsidRPr="00D646CA">
        <w:rPr>
          <w:i/>
          <w:sz w:val="22"/>
        </w:rPr>
        <w:t>Alexandra Galitzine-</w:t>
      </w:r>
      <w:proofErr w:type="spellStart"/>
      <w:r w:rsidR="00D646CA" w:rsidRPr="00D646CA">
        <w:rPr>
          <w:i/>
          <w:sz w:val="22"/>
        </w:rPr>
        <w:t>Loumpet</w:t>
      </w:r>
      <w:proofErr w:type="spellEnd"/>
    </w:p>
    <w:p w14:paraId="7DD05242" w14:textId="77777777" w:rsidR="00690F5E" w:rsidRPr="00690F5E" w:rsidRDefault="00690F5E" w:rsidP="00AB2C0D">
      <w:pPr>
        <w:jc w:val="both"/>
        <w:rPr>
          <w:i/>
          <w:sz w:val="22"/>
        </w:rPr>
      </w:pPr>
    </w:p>
    <w:p w14:paraId="3BF0B526" w14:textId="77777777" w:rsidR="00AB2C0D" w:rsidRPr="00690F5E" w:rsidRDefault="00690F5E" w:rsidP="00690F5E">
      <w:pPr>
        <w:pStyle w:val="Paragraphedeliste"/>
        <w:numPr>
          <w:ilvl w:val="0"/>
          <w:numId w:val="5"/>
        </w:numPr>
        <w:jc w:val="both"/>
        <w:rPr>
          <w:b/>
          <w:sz w:val="22"/>
        </w:rPr>
      </w:pPr>
      <w:r w:rsidRPr="00690F5E">
        <w:rPr>
          <w:b/>
          <w:sz w:val="22"/>
        </w:rPr>
        <w:t xml:space="preserve">De la chefferie à la polyarchie. Réintroduire la dimension communautaire et les communs dans l’observation des pouvoirs locaux africains </w:t>
      </w:r>
    </w:p>
    <w:p w14:paraId="1C62405C" w14:textId="77777777" w:rsidR="00690F5E" w:rsidRPr="00690F5E" w:rsidRDefault="00690F5E" w:rsidP="00690F5E">
      <w:pPr>
        <w:ind w:firstLine="360"/>
        <w:jc w:val="both"/>
        <w:rPr>
          <w:sz w:val="22"/>
          <w:u w:val="single"/>
        </w:rPr>
      </w:pPr>
      <w:r w:rsidRPr="00690F5E">
        <w:rPr>
          <w:i/>
          <w:sz w:val="22"/>
        </w:rPr>
        <w:t>Etienne Leroy – Université  Panthéon-Sorbonne  Paris  1</w:t>
      </w:r>
    </w:p>
    <w:p w14:paraId="004BBCD4" w14:textId="77777777" w:rsidR="00690F5E" w:rsidRDefault="00690F5E" w:rsidP="00690F5E">
      <w:pPr>
        <w:pStyle w:val="Paragraphedeliste"/>
        <w:ind w:left="1080"/>
        <w:jc w:val="both"/>
        <w:rPr>
          <w:sz w:val="22"/>
          <w:u w:val="single"/>
        </w:rPr>
      </w:pPr>
    </w:p>
    <w:p w14:paraId="7497B55A" w14:textId="77777777" w:rsidR="004260A6" w:rsidRPr="004260A6" w:rsidRDefault="00AB2C0D" w:rsidP="004260A6">
      <w:pPr>
        <w:jc w:val="both"/>
      </w:pPr>
      <w:r w:rsidRPr="004260A6">
        <w:rPr>
          <w:u w:val="single"/>
        </w:rPr>
        <w:t>Résumé </w:t>
      </w:r>
      <w:r w:rsidRPr="004260A6">
        <w:t>:</w:t>
      </w:r>
      <w:r w:rsidR="004260A6" w:rsidRPr="004260A6">
        <w:t xml:space="preserve"> </w:t>
      </w:r>
      <w:r w:rsidR="004260A6" w:rsidRPr="008A0404">
        <w:t>Les récits de voyage permettent de dater du XVII° siècle l’époque où la notion de chefferie est entrée dans le langage courant des navigateurs, des esclavagistes puis des colonisateurs. Ce terme est logiquement associé à la tendance monologique de la modernité qui s’invente alors. Bien qu’étranger aux cultures endogènes, il a été naturalisé et approprié par les acteurs africains sans être approprié à rendre compte de l’originalité des montages institutionnels communautaires dont personne ne se souciait jusqu’à une période très récente. Mais les crises qui affectent l’</w:t>
      </w:r>
      <w:r w:rsidR="004260A6" w:rsidRPr="004260A6">
        <w:t>É</w:t>
      </w:r>
      <w:r w:rsidR="004260A6" w:rsidRPr="008A0404">
        <w:t>tat, les modèles de production et de développement, le climat  et le capitalisme  financiarisé conduisent à lever « le voile d’ignorance » et à redécouvrir la place et le rôle des communs dans les sociétés africaines contemporaines. Pour cela, il faut préférer un paradigme du partage à celui de l’échange et disposer d’une théorie des pouvoirs locaux à la hauteur de la révolution en cours</w:t>
      </w:r>
      <w:r w:rsidR="004260A6">
        <w:t xml:space="preserve"> et des nouveaux modèles de gestion des richesses</w:t>
      </w:r>
      <w:r w:rsidR="004260A6" w:rsidRPr="008A0404">
        <w:t xml:space="preserve">. </w:t>
      </w:r>
    </w:p>
    <w:p w14:paraId="7B154191" w14:textId="77777777" w:rsidR="00AB2C0D" w:rsidRPr="004260A6" w:rsidRDefault="00AB2C0D" w:rsidP="004260A6">
      <w:pPr>
        <w:jc w:val="both"/>
        <w:rPr>
          <w:sz w:val="22"/>
          <w:u w:val="single"/>
        </w:rPr>
      </w:pPr>
    </w:p>
    <w:p w14:paraId="79815A46" w14:textId="77777777" w:rsidR="00AB2C0D" w:rsidRPr="00AB2C0D" w:rsidRDefault="00AB2C0D" w:rsidP="00690F5E">
      <w:pPr>
        <w:pStyle w:val="Paragraphedeliste"/>
        <w:ind w:left="1080"/>
        <w:jc w:val="both"/>
        <w:rPr>
          <w:sz w:val="22"/>
          <w:u w:val="single"/>
        </w:rPr>
      </w:pPr>
    </w:p>
    <w:p w14:paraId="72712058" w14:textId="77777777" w:rsidR="00BC3417" w:rsidRPr="00BC3417" w:rsidRDefault="00BC3417" w:rsidP="00BC3417">
      <w:pPr>
        <w:pStyle w:val="Paragraphedeliste"/>
        <w:numPr>
          <w:ilvl w:val="0"/>
          <w:numId w:val="5"/>
        </w:numPr>
        <w:jc w:val="both"/>
        <w:rPr>
          <w:b/>
          <w:sz w:val="22"/>
        </w:rPr>
      </w:pPr>
      <w:r w:rsidRPr="00BC3417">
        <w:rPr>
          <w:b/>
          <w:sz w:val="22"/>
        </w:rPr>
        <w:t xml:space="preserve">Mobilisation et initiatives des migrants </w:t>
      </w:r>
      <w:proofErr w:type="spellStart"/>
      <w:r w:rsidRPr="00BC3417">
        <w:rPr>
          <w:b/>
          <w:sz w:val="22"/>
        </w:rPr>
        <w:t>haalpulaaren</w:t>
      </w:r>
      <w:proofErr w:type="spellEnd"/>
      <w:r w:rsidRPr="00BC3417">
        <w:rPr>
          <w:b/>
          <w:sz w:val="22"/>
        </w:rPr>
        <w:t xml:space="preserve"> face aux enjeux de l’accaparement des terres dans la vallée du fleuve Sénégal (Mauritanie, Sénégal)</w:t>
      </w:r>
    </w:p>
    <w:p w14:paraId="78F2C5FA" w14:textId="77777777" w:rsidR="00690F5E" w:rsidRPr="00445896" w:rsidRDefault="00690F5E" w:rsidP="00690F5E">
      <w:pPr>
        <w:pStyle w:val="Paragraphedeliste"/>
        <w:ind w:left="360"/>
        <w:jc w:val="both"/>
        <w:rPr>
          <w:b/>
          <w:sz w:val="22"/>
        </w:rPr>
      </w:pPr>
      <w:r w:rsidRPr="00FD773D">
        <w:rPr>
          <w:i/>
          <w:sz w:val="22"/>
        </w:rPr>
        <w:t xml:space="preserve">Olivier </w:t>
      </w:r>
      <w:proofErr w:type="spellStart"/>
      <w:r w:rsidRPr="00FD773D">
        <w:rPr>
          <w:i/>
          <w:sz w:val="22"/>
        </w:rPr>
        <w:t>Leservoisier</w:t>
      </w:r>
      <w:proofErr w:type="spellEnd"/>
      <w:r>
        <w:rPr>
          <w:i/>
          <w:sz w:val="22"/>
        </w:rPr>
        <w:t xml:space="preserve"> – CRE, Université Lumière Lyon II</w:t>
      </w:r>
    </w:p>
    <w:p w14:paraId="14A20B53" w14:textId="77777777" w:rsidR="00AB2C0D" w:rsidRPr="00690F5E" w:rsidRDefault="00AB2C0D" w:rsidP="00690F5E">
      <w:pPr>
        <w:pStyle w:val="Paragraphedeliste"/>
        <w:ind w:left="360"/>
        <w:jc w:val="both"/>
        <w:rPr>
          <w:b/>
          <w:sz w:val="22"/>
        </w:rPr>
      </w:pPr>
    </w:p>
    <w:p w14:paraId="27991A3D" w14:textId="77777777" w:rsidR="004260A6" w:rsidRDefault="00AB2C0D" w:rsidP="00BC3417">
      <w:pPr>
        <w:jc w:val="both"/>
      </w:pPr>
      <w:r w:rsidRPr="004260A6">
        <w:rPr>
          <w:sz w:val="22"/>
          <w:u w:val="single"/>
        </w:rPr>
        <w:t>Résumé </w:t>
      </w:r>
      <w:r w:rsidRPr="00DB284A">
        <w:rPr>
          <w:sz w:val="22"/>
        </w:rPr>
        <w:t>:</w:t>
      </w:r>
      <w:r w:rsidR="004260A6" w:rsidRPr="00DB284A">
        <w:rPr>
          <w:sz w:val="22"/>
        </w:rPr>
        <w:t xml:space="preserve"> </w:t>
      </w:r>
      <w:r w:rsidR="004260A6" w:rsidRPr="00554028">
        <w:rPr>
          <w:rFonts w:ascii="Cambria" w:hAnsi="Cambria"/>
        </w:rPr>
        <w:t>Au cours de ces dernières années, les concessions de terres par l’Etat mauritanie</w:t>
      </w:r>
      <w:r w:rsidR="004260A6">
        <w:rPr>
          <w:rFonts w:ascii="Cambria" w:hAnsi="Cambria"/>
        </w:rPr>
        <w:t>n à des investisseurs privés n’ont</w:t>
      </w:r>
      <w:r w:rsidR="004260A6" w:rsidRPr="00554028">
        <w:rPr>
          <w:rFonts w:ascii="Cambria" w:hAnsi="Cambria"/>
        </w:rPr>
        <w:t xml:space="preserve"> fait que se multiplier dans la vallée du fleuve Sénégal, comme l’atteste l’attribution récente (janvier 2014)</w:t>
      </w:r>
      <w:r w:rsidR="004260A6">
        <w:rPr>
          <w:rFonts w:ascii="Cambria" w:hAnsi="Cambria"/>
        </w:rPr>
        <w:t>,</w:t>
      </w:r>
      <w:r w:rsidR="004260A6" w:rsidRPr="00554028">
        <w:rPr>
          <w:rFonts w:ascii="Cambria" w:hAnsi="Cambria"/>
        </w:rPr>
        <w:t xml:space="preserve"> dans le département de Bogué</w:t>
      </w:r>
      <w:r w:rsidR="004260A6">
        <w:rPr>
          <w:rFonts w:ascii="Cambria" w:hAnsi="Cambria"/>
        </w:rPr>
        <w:t>,</w:t>
      </w:r>
      <w:r w:rsidR="004260A6" w:rsidRPr="00554028">
        <w:rPr>
          <w:rFonts w:ascii="Cambria" w:hAnsi="Cambria"/>
        </w:rPr>
        <w:t xml:space="preserve"> de 31 000 hectares à une firme saoudienne. Cette situation</w:t>
      </w:r>
      <w:r w:rsidR="004260A6">
        <w:rPr>
          <w:rFonts w:ascii="Cambria" w:hAnsi="Cambria"/>
        </w:rPr>
        <w:t xml:space="preserve"> vient ainsi rappeler de manière sensible le problème de </w:t>
      </w:r>
      <w:r w:rsidR="004260A6" w:rsidRPr="00554028">
        <w:rPr>
          <w:rFonts w:ascii="Cambria" w:hAnsi="Cambria"/>
        </w:rPr>
        <w:t>l’application du principe des « terres mortes » de la réforme foncière mauritanienne de 1983, en partie responsable des événements de 1989 qui eurent</w:t>
      </w:r>
      <w:r w:rsidR="004260A6" w:rsidRPr="00554028">
        <w:rPr>
          <w:rFonts w:ascii="Cambria" w:hAnsi="Cambria" w:cs="Times"/>
          <w:color w:val="000000"/>
        </w:rPr>
        <w:t xml:space="preserve"> pour conséquence l’exode de plusieurs milliers de personnes de part et d’autre du fleuve et l’installation de camps de réfugiés au Sénégal.</w:t>
      </w:r>
      <w:r w:rsidR="004260A6">
        <w:rPr>
          <w:rFonts w:ascii="Times" w:hAnsi="Times" w:cs="Times"/>
          <w:color w:val="000000"/>
        </w:rPr>
        <w:t xml:space="preserve"> </w:t>
      </w:r>
      <w:r w:rsidR="004260A6">
        <w:t xml:space="preserve">Elle soulève, par ailleurs, la question du rôle et de la place des nouveaux pouvoirs locaux, issus des réformes de décentralisation et de démocratisation, face aux décisions politiques venues d’en haut. </w:t>
      </w:r>
    </w:p>
    <w:p w14:paraId="37905AA5" w14:textId="77777777" w:rsidR="004260A6" w:rsidRDefault="004260A6" w:rsidP="004260A6">
      <w:pPr>
        <w:ind w:left="142"/>
        <w:jc w:val="both"/>
      </w:pPr>
      <w:r>
        <w:rPr>
          <w:rFonts w:ascii="Cambria" w:hAnsi="Cambria"/>
        </w:rPr>
        <w:t xml:space="preserve">L’accaparement des terres </w:t>
      </w:r>
      <w:r w:rsidRPr="00554028">
        <w:rPr>
          <w:rFonts w:ascii="Cambria" w:hAnsi="Cambria"/>
        </w:rPr>
        <w:t xml:space="preserve">suscite de vives réactions de la part des populations </w:t>
      </w:r>
      <w:proofErr w:type="spellStart"/>
      <w:r>
        <w:rPr>
          <w:rFonts w:ascii="Cambria" w:hAnsi="Cambria"/>
        </w:rPr>
        <w:t>haalpulaaren</w:t>
      </w:r>
      <w:proofErr w:type="spellEnd"/>
      <w:r>
        <w:rPr>
          <w:rFonts w:ascii="Cambria" w:hAnsi="Cambria"/>
        </w:rPr>
        <w:t xml:space="preserve">, tant sur place qu’à l’extérieur dans le milieu des migrants. </w:t>
      </w:r>
      <w:r>
        <w:t xml:space="preserve">Aux Etats-Unis, des initiatives viennent ainsi d’être prises pour mettre en place un Groupement d’Intérêt Economique capable d’aider au développement de la région du fleuve. C’est à </w:t>
      </w:r>
      <w:r>
        <w:lastRenderedPageBreak/>
        <w:t>la fois sur les enjeux de la politique de concession de terres et sur les réponses apportées par  les migrants que portera notre réflexion.</w:t>
      </w:r>
    </w:p>
    <w:p w14:paraId="37F24688" w14:textId="77777777" w:rsidR="00AB2C0D" w:rsidRPr="004260A6" w:rsidRDefault="00AB2C0D" w:rsidP="004260A6">
      <w:pPr>
        <w:jc w:val="both"/>
        <w:rPr>
          <w:sz w:val="22"/>
          <w:u w:val="single"/>
        </w:rPr>
      </w:pPr>
    </w:p>
    <w:p w14:paraId="64889A08" w14:textId="77777777" w:rsidR="00AB2C0D" w:rsidRDefault="00AB2C0D" w:rsidP="00AB2C0D">
      <w:pPr>
        <w:jc w:val="both"/>
        <w:rPr>
          <w:sz w:val="22"/>
          <w:u w:val="single"/>
        </w:rPr>
      </w:pPr>
    </w:p>
    <w:p w14:paraId="678A21CF" w14:textId="77777777" w:rsidR="00690F5E" w:rsidRPr="00690F5E" w:rsidRDefault="00AB2C0D" w:rsidP="00690F5E">
      <w:pPr>
        <w:pBdr>
          <w:top w:val="single" w:sz="4" w:space="1" w:color="auto"/>
          <w:left w:val="single" w:sz="4" w:space="4" w:color="auto"/>
          <w:bottom w:val="single" w:sz="4" w:space="1" w:color="auto"/>
          <w:right w:val="single" w:sz="4" w:space="4" w:color="auto"/>
        </w:pBdr>
        <w:rPr>
          <w:i/>
          <w:sz w:val="22"/>
        </w:rPr>
      </w:pPr>
      <w:r w:rsidRPr="00690F5E">
        <w:rPr>
          <w:sz w:val="22"/>
        </w:rPr>
        <w:t xml:space="preserve">Seconde session </w:t>
      </w:r>
      <w:r w:rsidR="00697E9D">
        <w:rPr>
          <w:b/>
          <w:sz w:val="22"/>
        </w:rPr>
        <w:t>L’or dans tous ses états</w:t>
      </w:r>
      <w:r w:rsidR="00690F5E" w:rsidRPr="00690F5E">
        <w:rPr>
          <w:b/>
          <w:sz w:val="22"/>
        </w:rPr>
        <w:t xml:space="preserve"> –  </w:t>
      </w:r>
      <w:r w:rsidR="00690F5E" w:rsidRPr="00690F5E">
        <w:rPr>
          <w:i/>
          <w:sz w:val="22"/>
        </w:rPr>
        <w:t>Monique de Saint Martin</w:t>
      </w:r>
      <w:r w:rsidR="00697E9D">
        <w:rPr>
          <w:i/>
          <w:sz w:val="22"/>
        </w:rPr>
        <w:t> ?</w:t>
      </w:r>
    </w:p>
    <w:p w14:paraId="393FFA89" w14:textId="77777777" w:rsidR="00AB2C0D" w:rsidRPr="00690F5E" w:rsidRDefault="00AB2C0D" w:rsidP="00AB2C0D">
      <w:pPr>
        <w:jc w:val="both"/>
        <w:rPr>
          <w:b/>
          <w:sz w:val="22"/>
        </w:rPr>
      </w:pPr>
    </w:p>
    <w:p w14:paraId="667B28AB" w14:textId="77777777" w:rsidR="00AB2C0D" w:rsidRDefault="00AB2C0D" w:rsidP="00AB2C0D">
      <w:pPr>
        <w:jc w:val="both"/>
        <w:rPr>
          <w:sz w:val="22"/>
        </w:rPr>
      </w:pPr>
    </w:p>
    <w:p w14:paraId="1DD40C3A" w14:textId="77777777" w:rsidR="00697E9D" w:rsidRPr="00DB284A" w:rsidRDefault="00697E9D" w:rsidP="00697E9D">
      <w:pPr>
        <w:widowControl w:val="0"/>
        <w:autoSpaceDE w:val="0"/>
        <w:autoSpaceDN w:val="0"/>
        <w:adjustRightInd w:val="0"/>
        <w:rPr>
          <w:rFonts w:cs="Times New Roman"/>
          <w:b/>
          <w:sz w:val="22"/>
          <w:szCs w:val="22"/>
        </w:rPr>
      </w:pPr>
      <w:r w:rsidRPr="00DB284A">
        <w:rPr>
          <w:rFonts w:cs="Times New Roman"/>
          <w:b/>
          <w:sz w:val="22"/>
          <w:szCs w:val="22"/>
        </w:rPr>
        <w:t>« Chercher la légalité au-delà des titres miniers »</w:t>
      </w:r>
      <w:r w:rsidR="00DB284A">
        <w:rPr>
          <w:rFonts w:cs="Times New Roman"/>
          <w:b/>
          <w:sz w:val="22"/>
          <w:szCs w:val="22"/>
        </w:rPr>
        <w:t xml:space="preserve">. </w:t>
      </w:r>
      <w:r w:rsidRPr="00DB284A">
        <w:rPr>
          <w:rFonts w:cs="Times New Roman"/>
          <w:b/>
          <w:sz w:val="22"/>
          <w:szCs w:val="22"/>
        </w:rPr>
        <w:t>Les pouvoirs locaux face à l’État dans l’arène minière burkinabè</w:t>
      </w:r>
    </w:p>
    <w:p w14:paraId="6AE5DA52" w14:textId="77777777" w:rsidR="00690F5E" w:rsidRPr="00FD773D" w:rsidRDefault="00690F5E" w:rsidP="00690F5E">
      <w:pPr>
        <w:pStyle w:val="Paragraphedeliste"/>
        <w:ind w:left="360"/>
        <w:jc w:val="both"/>
        <w:rPr>
          <w:b/>
          <w:sz w:val="22"/>
        </w:rPr>
      </w:pPr>
      <w:r>
        <w:rPr>
          <w:i/>
          <w:sz w:val="22"/>
        </w:rPr>
        <w:t>Quentin Mégret – CRE, Université Lumière Lyon II</w:t>
      </w:r>
    </w:p>
    <w:p w14:paraId="0EF5600C" w14:textId="77777777" w:rsidR="00AB2C0D" w:rsidRDefault="00AB2C0D" w:rsidP="00690F5E">
      <w:pPr>
        <w:pStyle w:val="Paragraphedeliste"/>
        <w:ind w:left="1080"/>
        <w:jc w:val="both"/>
        <w:rPr>
          <w:sz w:val="22"/>
          <w:u w:val="single"/>
        </w:rPr>
      </w:pPr>
    </w:p>
    <w:p w14:paraId="76726155" w14:textId="77777777" w:rsidR="00AB2C0D" w:rsidRPr="00DB284A" w:rsidRDefault="00AB2C0D" w:rsidP="00DB284A">
      <w:pPr>
        <w:widowControl w:val="0"/>
        <w:autoSpaceDE w:val="0"/>
        <w:autoSpaceDN w:val="0"/>
        <w:adjustRightInd w:val="0"/>
        <w:jc w:val="both"/>
        <w:rPr>
          <w:rFonts w:cs="Times New Roman"/>
        </w:rPr>
      </w:pPr>
      <w:r w:rsidRPr="00AB2C0D">
        <w:rPr>
          <w:sz w:val="22"/>
          <w:u w:val="single"/>
        </w:rPr>
        <w:t>Résumé</w:t>
      </w:r>
      <w:r>
        <w:rPr>
          <w:sz w:val="22"/>
          <w:u w:val="single"/>
        </w:rPr>
        <w:t> :</w:t>
      </w:r>
      <w:r w:rsidR="004260A6">
        <w:rPr>
          <w:sz w:val="22"/>
          <w:u w:val="single"/>
        </w:rPr>
        <w:t xml:space="preserve"> </w:t>
      </w:r>
      <w:r w:rsidR="00697E9D" w:rsidRPr="00DB284A">
        <w:rPr>
          <w:rFonts w:cs="Times New Roman"/>
        </w:rPr>
        <w:t>Depuis la seconde moitié des années 2000, suite à la libéralisation du secteur minier, l’exploitation de l’or a connu un essor considérable au Burkina Faso. Six mines industrielles sont à présent entrées en production tandis que le secteur artisanal occupe plus d’un million de personnes à travers le pays. Un tel bouleversement mérite que l’on s’attache à saisir la place et la situation occupées par les différents acteurs concernés par l’évolution de cette filière. Tout d’abord, cette communication souhaite mettre en évidence la position stratégique, à travers notamment la distribution des divers titres miniers, que l’État occupe à présent dans le champ concurrentiel du secteur minier burkinabè. Puis, les multiples figures de l’autorité locale, affectées par la question des modalités d’accès aux terres et aux ressources minières, seront présentées. Cette configuration est celle d’un enchevêtrement complexe d’instances et d’acteurs. Des données ethnographiques permettront d’exposer alors diverses tentatives d’action politique initiées par les acteurs locaux dans le but de négocier, d’encadrer et de réguler l’exploration ou l’exploitation des gisements. Nous verrons que les actions de ces</w:t>
      </w:r>
      <w:r w:rsidR="00DB284A" w:rsidRPr="00DB284A">
        <w:rPr>
          <w:rFonts w:cs="Times New Roman"/>
        </w:rPr>
        <w:t xml:space="preserve"> </w:t>
      </w:r>
      <w:r w:rsidR="00697E9D" w:rsidRPr="00DB284A">
        <w:rPr>
          <w:rFonts w:cs="Times New Roman"/>
        </w:rPr>
        <w:t>pouvoirs locaux se heurtent parfois aux prérogatives de l’État central, tronquant ainsi, dans</w:t>
      </w:r>
      <w:r w:rsidR="00DB284A" w:rsidRPr="00DB284A">
        <w:rPr>
          <w:rFonts w:cs="Times New Roman"/>
        </w:rPr>
        <w:t xml:space="preserve"> </w:t>
      </w:r>
      <w:r w:rsidR="00697E9D" w:rsidRPr="00DB284A">
        <w:rPr>
          <w:rFonts w:cs="Times New Roman"/>
        </w:rPr>
        <w:t>une certaine mesu</w:t>
      </w:r>
      <w:r w:rsidR="00DB284A" w:rsidRPr="00DB284A">
        <w:rPr>
          <w:rFonts w:cs="Times New Roman"/>
        </w:rPr>
        <w:t xml:space="preserve">re, les possibilités d’aboutir, </w:t>
      </w:r>
      <w:r w:rsidR="00697E9D" w:rsidRPr="00DB284A">
        <w:rPr>
          <w:rFonts w:cs="Times New Roman"/>
        </w:rPr>
        <w:t>notamment en matière de compensations, à des</w:t>
      </w:r>
      <w:r w:rsidR="00DB284A" w:rsidRPr="00DB284A">
        <w:rPr>
          <w:rFonts w:cs="Times New Roman"/>
        </w:rPr>
        <w:t xml:space="preserve"> </w:t>
      </w:r>
      <w:r w:rsidR="00697E9D" w:rsidRPr="00DB284A">
        <w:rPr>
          <w:rFonts w:cs="Times New Roman"/>
        </w:rPr>
        <w:t>accords satisfaisant l’ensemble des parties prenantes. Si des compromis sont établis, ceux-ci</w:t>
      </w:r>
      <w:r w:rsidR="00DB284A" w:rsidRPr="00DB284A">
        <w:rPr>
          <w:rFonts w:cs="Times New Roman"/>
        </w:rPr>
        <w:t xml:space="preserve"> </w:t>
      </w:r>
      <w:r w:rsidR="00697E9D" w:rsidRPr="00DB284A">
        <w:rPr>
          <w:rFonts w:cs="Times New Roman"/>
        </w:rPr>
        <w:t>restent généralement marqués par un important degré d’incertitude.</w:t>
      </w:r>
      <w:r w:rsidR="00DB284A" w:rsidRPr="00DB284A">
        <w:rPr>
          <w:rFonts w:cs="Times New Roman"/>
        </w:rPr>
        <w:t xml:space="preserve"> </w:t>
      </w:r>
      <w:r w:rsidR="00697E9D" w:rsidRPr="00DB284A">
        <w:rPr>
          <w:rFonts w:cs="Times New Roman"/>
        </w:rPr>
        <w:t>L’étude des interactions et des processus de négociation de l’ensemble des acteurs de</w:t>
      </w:r>
      <w:r w:rsidR="00DB284A" w:rsidRPr="00DB284A">
        <w:rPr>
          <w:rFonts w:cs="Times New Roman"/>
        </w:rPr>
        <w:t xml:space="preserve"> l</w:t>
      </w:r>
      <w:r w:rsidR="00697E9D" w:rsidRPr="00DB284A">
        <w:rPr>
          <w:rFonts w:cs="Times New Roman"/>
        </w:rPr>
        <w:t>’arène minière dévoile ainsi de nombreux glissements d’échelles qui apparaissent jusqu’ici</w:t>
      </w:r>
      <w:r w:rsidR="00DB284A" w:rsidRPr="00DB284A">
        <w:rPr>
          <w:rFonts w:cs="Times New Roman"/>
        </w:rPr>
        <w:t xml:space="preserve"> </w:t>
      </w:r>
      <w:r w:rsidR="00697E9D" w:rsidRPr="00DB284A">
        <w:rPr>
          <w:rFonts w:cs="Times New Roman"/>
        </w:rPr>
        <w:t>comme au</w:t>
      </w:r>
      <w:r w:rsidR="00DB284A" w:rsidRPr="00DB284A">
        <w:rPr>
          <w:rFonts w:cs="Times New Roman"/>
        </w:rPr>
        <w:t>tant d’obstacles à la mise en œ</w:t>
      </w:r>
      <w:r w:rsidR="00697E9D" w:rsidRPr="00DB284A">
        <w:rPr>
          <w:rFonts w:cs="Times New Roman"/>
        </w:rPr>
        <w:t>uvre d’une politique minière nationale concertée et consensuelle.</w:t>
      </w:r>
    </w:p>
    <w:p w14:paraId="1D0CE3D4" w14:textId="77777777" w:rsidR="00FE0B10" w:rsidRPr="00FE0B10" w:rsidRDefault="00FE0B10" w:rsidP="00FE0B10">
      <w:pPr>
        <w:jc w:val="both"/>
        <w:rPr>
          <w:sz w:val="22"/>
          <w:u w:val="single"/>
        </w:rPr>
      </w:pPr>
    </w:p>
    <w:p w14:paraId="128D0FDD" w14:textId="77777777" w:rsidR="00AB2C0D" w:rsidRPr="00973A34" w:rsidRDefault="00AB2C0D" w:rsidP="00AB2C0D">
      <w:pPr>
        <w:pStyle w:val="Paragraphedeliste"/>
        <w:jc w:val="both"/>
        <w:rPr>
          <w:b/>
          <w:sz w:val="22"/>
        </w:rPr>
      </w:pPr>
    </w:p>
    <w:p w14:paraId="48A64E94" w14:textId="77777777" w:rsidR="00690F5E" w:rsidRDefault="00DB284A" w:rsidP="00690F5E">
      <w:pPr>
        <w:pStyle w:val="Paragraphedeliste"/>
        <w:numPr>
          <w:ilvl w:val="0"/>
          <w:numId w:val="5"/>
        </w:numPr>
        <w:jc w:val="both"/>
        <w:rPr>
          <w:b/>
          <w:sz w:val="22"/>
        </w:rPr>
      </w:pPr>
      <w:r>
        <w:rPr>
          <w:b/>
          <w:sz w:val="22"/>
        </w:rPr>
        <w:t xml:space="preserve">L’or, un bien public ? </w:t>
      </w:r>
    </w:p>
    <w:p w14:paraId="2F214D92" w14:textId="77777777" w:rsidR="00625541" w:rsidRDefault="00690F5E" w:rsidP="00625541">
      <w:pPr>
        <w:pStyle w:val="Paragraphedeliste"/>
        <w:ind w:left="360"/>
        <w:jc w:val="both"/>
        <w:rPr>
          <w:i/>
          <w:sz w:val="22"/>
        </w:rPr>
      </w:pPr>
      <w:r>
        <w:rPr>
          <w:b/>
          <w:sz w:val="22"/>
        </w:rPr>
        <w:t xml:space="preserve"> </w:t>
      </w:r>
      <w:r w:rsidR="00625541" w:rsidRPr="00FD773D">
        <w:rPr>
          <w:i/>
          <w:sz w:val="22"/>
        </w:rPr>
        <w:t>Michèle Leclerc</w:t>
      </w:r>
      <w:r w:rsidR="00625541">
        <w:rPr>
          <w:i/>
          <w:sz w:val="22"/>
        </w:rPr>
        <w:t>-Olive</w:t>
      </w:r>
      <w:r w:rsidR="00625541" w:rsidRPr="00FD773D">
        <w:rPr>
          <w:i/>
          <w:sz w:val="22"/>
        </w:rPr>
        <w:t>, IRIS, EHESS.</w:t>
      </w:r>
    </w:p>
    <w:p w14:paraId="2BA9B0A8" w14:textId="77777777" w:rsidR="00690F5E" w:rsidRDefault="00690F5E" w:rsidP="00690F5E">
      <w:pPr>
        <w:pStyle w:val="Paragraphedeliste"/>
        <w:ind w:left="360"/>
        <w:jc w:val="both"/>
        <w:rPr>
          <w:i/>
          <w:sz w:val="22"/>
        </w:rPr>
      </w:pPr>
    </w:p>
    <w:p w14:paraId="27EAF5F9" w14:textId="77777777" w:rsidR="00DB284A" w:rsidRDefault="00AB2C0D" w:rsidP="00DB284A">
      <w:pPr>
        <w:pStyle w:val="Paragraphedeliste"/>
        <w:ind w:left="0" w:firstLine="540"/>
        <w:jc w:val="both"/>
      </w:pPr>
      <w:r w:rsidRPr="00AB2C0D">
        <w:rPr>
          <w:sz w:val="22"/>
          <w:u w:val="single"/>
        </w:rPr>
        <w:t>Résumé</w:t>
      </w:r>
      <w:r w:rsidR="00697E9D">
        <w:rPr>
          <w:sz w:val="22"/>
          <w:u w:val="single"/>
        </w:rPr>
        <w:t xml:space="preserve"> : </w:t>
      </w:r>
      <w:r w:rsidR="00DB284A">
        <w:t>On est le plus souvent invité à examiner les activités des entreprises extractives (or, diamant, uranium, etc.) – tant industrielles qu’artisanales – selon deux points de vue. D’une part, pour leur impact sur l’environnement et la santé des populations (au motif légitime que certaines techniques de traitement du minerai sont très polluantes, par exemple) ; d’autre part à partir d’une réflexion éthique au nom de la responsabilité sociale des entreprises (en ce qu’elles s’installent dans des régions pauvres). Cette communication voudrait soutenir qu’une approche en termes purement éthiques – aussi nécessaire soit-elle – s’appuie de fait le plus souvent sur une conception du politique qui fait de l’</w:t>
      </w:r>
      <w:proofErr w:type="spellStart"/>
      <w:r w:rsidR="00DB284A">
        <w:t>Etat</w:t>
      </w:r>
      <w:proofErr w:type="spellEnd"/>
      <w:r w:rsidR="00DB284A">
        <w:t xml:space="preserve"> un actionnaire et réduit la citoyenneté à sa dimension purement formelle, sans prise réelle sur les affaires essentielles de la cité, et notamment sur les politiques publiques en matière d’exploitation des richesses du sous-sol du pays. </w:t>
      </w:r>
    </w:p>
    <w:p w14:paraId="7BEB1C3B" w14:textId="77777777" w:rsidR="00DB284A" w:rsidRDefault="00DB284A" w:rsidP="00DB284A">
      <w:pPr>
        <w:pStyle w:val="Paragraphedeliste"/>
        <w:ind w:left="0" w:firstLine="540"/>
        <w:jc w:val="both"/>
      </w:pPr>
      <w:r>
        <w:lastRenderedPageBreak/>
        <w:t xml:space="preserve">En partant de l’observation des pratiques des entreprises extractives aurifères et de leur impact, social et environnemental, dans la zone de </w:t>
      </w:r>
      <w:proofErr w:type="spellStart"/>
      <w:r>
        <w:t>Kéniéba</w:t>
      </w:r>
      <w:proofErr w:type="spellEnd"/>
      <w:r>
        <w:t xml:space="preserve"> au Mali, je voudrais ainsi attirer l’attention sur la performativité des catégories lexicales actuelles (collectivités territoriales, éthique, RSE, pays pauvres, etc.) qui concourent à entraver l’analyse des questions minières en termes de biens publics. </w:t>
      </w:r>
    </w:p>
    <w:p w14:paraId="05A70E48" w14:textId="77777777" w:rsidR="00DB284A" w:rsidRDefault="00DB284A" w:rsidP="00690F5E">
      <w:pPr>
        <w:pStyle w:val="Paragraphedeliste"/>
        <w:numPr>
          <w:ilvl w:val="1"/>
          <w:numId w:val="5"/>
        </w:numPr>
        <w:jc w:val="both"/>
        <w:rPr>
          <w:sz w:val="22"/>
          <w:u w:val="single"/>
        </w:rPr>
      </w:pPr>
    </w:p>
    <w:p w14:paraId="74DB8398" w14:textId="77777777" w:rsidR="00DB284A" w:rsidRPr="00DB284A" w:rsidRDefault="00DB284A" w:rsidP="00690F5E">
      <w:pPr>
        <w:pStyle w:val="Paragraphedeliste"/>
        <w:numPr>
          <w:ilvl w:val="1"/>
          <w:numId w:val="5"/>
        </w:numPr>
        <w:jc w:val="both"/>
        <w:rPr>
          <w:sz w:val="22"/>
          <w:u w:val="single"/>
        </w:rPr>
      </w:pPr>
    </w:p>
    <w:p w14:paraId="24545B33" w14:textId="77777777" w:rsidR="00DB284A" w:rsidRPr="00DB284A" w:rsidRDefault="00DB284A" w:rsidP="00DB284A">
      <w:pPr>
        <w:pStyle w:val="Paragraphedeliste"/>
        <w:numPr>
          <w:ilvl w:val="0"/>
          <w:numId w:val="5"/>
        </w:numPr>
        <w:pBdr>
          <w:top w:val="single" w:sz="4" w:space="1" w:color="auto"/>
          <w:left w:val="single" w:sz="4" w:space="4" w:color="auto"/>
          <w:bottom w:val="single" w:sz="4" w:space="1" w:color="auto"/>
          <w:right w:val="single" w:sz="4" w:space="4" w:color="auto"/>
        </w:pBdr>
        <w:jc w:val="both"/>
        <w:rPr>
          <w:sz w:val="22"/>
          <w:u w:val="single"/>
        </w:rPr>
      </w:pPr>
      <w:r>
        <w:rPr>
          <w:sz w:val="22"/>
        </w:rPr>
        <w:t>Troisième</w:t>
      </w:r>
      <w:r w:rsidRPr="00690F5E">
        <w:rPr>
          <w:sz w:val="22"/>
        </w:rPr>
        <w:t xml:space="preserve"> session </w:t>
      </w:r>
      <w:r>
        <w:rPr>
          <w:b/>
          <w:sz w:val="22"/>
        </w:rPr>
        <w:t>Richesses des territoires et mondialisation</w:t>
      </w:r>
      <w:r w:rsidRPr="00690F5E">
        <w:rPr>
          <w:b/>
          <w:sz w:val="22"/>
        </w:rPr>
        <w:t xml:space="preserve"> –  </w:t>
      </w:r>
      <w:r>
        <w:rPr>
          <w:i/>
          <w:sz w:val="22"/>
        </w:rPr>
        <w:t>Marc Bessin ?</w:t>
      </w:r>
    </w:p>
    <w:p w14:paraId="533B8C77" w14:textId="77777777" w:rsidR="00DB284A" w:rsidRDefault="00DB284A" w:rsidP="00697E9D">
      <w:pPr>
        <w:pStyle w:val="Paragraphedeliste"/>
        <w:numPr>
          <w:ilvl w:val="0"/>
          <w:numId w:val="5"/>
        </w:numPr>
        <w:jc w:val="both"/>
        <w:rPr>
          <w:b/>
          <w:sz w:val="22"/>
        </w:rPr>
      </w:pPr>
    </w:p>
    <w:p w14:paraId="2E88A260" w14:textId="77777777" w:rsidR="00697E9D" w:rsidRDefault="00697E9D" w:rsidP="00697E9D">
      <w:pPr>
        <w:pStyle w:val="Paragraphedeliste"/>
        <w:numPr>
          <w:ilvl w:val="0"/>
          <w:numId w:val="5"/>
        </w:numPr>
        <w:jc w:val="both"/>
        <w:rPr>
          <w:b/>
          <w:sz w:val="22"/>
        </w:rPr>
      </w:pPr>
      <w:r>
        <w:rPr>
          <w:b/>
          <w:sz w:val="22"/>
        </w:rPr>
        <w:t>Le Canada comme paradis du secteur minier mondial</w:t>
      </w:r>
      <w:r w:rsidRPr="00973A34">
        <w:rPr>
          <w:b/>
          <w:sz w:val="22"/>
        </w:rPr>
        <w:t> </w:t>
      </w:r>
    </w:p>
    <w:p w14:paraId="4AC9FAFD" w14:textId="77777777" w:rsidR="00697E9D" w:rsidRPr="00445896" w:rsidRDefault="00697E9D" w:rsidP="00697E9D">
      <w:pPr>
        <w:pStyle w:val="Paragraphedeliste"/>
        <w:ind w:left="360"/>
        <w:jc w:val="both"/>
        <w:rPr>
          <w:b/>
          <w:sz w:val="22"/>
        </w:rPr>
      </w:pPr>
      <w:r>
        <w:rPr>
          <w:i/>
          <w:sz w:val="22"/>
        </w:rPr>
        <w:t xml:space="preserve">Alain </w:t>
      </w:r>
      <w:proofErr w:type="spellStart"/>
      <w:r>
        <w:rPr>
          <w:i/>
          <w:sz w:val="22"/>
        </w:rPr>
        <w:t>Deneault</w:t>
      </w:r>
      <w:proofErr w:type="spellEnd"/>
      <w:r>
        <w:rPr>
          <w:i/>
          <w:sz w:val="22"/>
        </w:rPr>
        <w:t xml:space="preserve"> – Université de Montréal</w:t>
      </w:r>
    </w:p>
    <w:p w14:paraId="41AEAC01" w14:textId="77777777" w:rsidR="00697E9D" w:rsidRDefault="00697E9D" w:rsidP="00697E9D">
      <w:pPr>
        <w:pStyle w:val="Paragraphedeliste"/>
        <w:ind w:left="1080"/>
        <w:jc w:val="both"/>
        <w:rPr>
          <w:sz w:val="22"/>
          <w:u w:val="single"/>
        </w:rPr>
      </w:pPr>
    </w:p>
    <w:p w14:paraId="65097203" w14:textId="77777777" w:rsidR="00697E9D" w:rsidRDefault="00697E9D" w:rsidP="00697E9D">
      <w:pPr>
        <w:jc w:val="both"/>
      </w:pPr>
      <w:r w:rsidRPr="004260A6">
        <w:rPr>
          <w:sz w:val="22"/>
          <w:u w:val="single"/>
        </w:rPr>
        <w:t>Résumé</w:t>
      </w:r>
      <w:r w:rsidRPr="00DB284A">
        <w:rPr>
          <w:sz w:val="22"/>
        </w:rPr>
        <w:t xml:space="preserve"> : </w:t>
      </w:r>
      <w:r>
        <w:t>Le Canada attire chez lui 75 % des sociétés minières du monde. Plusieurs proviennent de l’étranger et s’activent à l’étranger, tout en enregistrant leurs opérations formellement à Toronto. Leur présence au Canada s’explique par les avantages financiers, réglementaires, fiscaux, légaux, diplomatiques et politiques que la législation met à leur disposition. Par conséquent, ce pays, qui se présente comme une démocratie exemplaire, se trouve à héberger chez lui une industrie fort controversée, au dossier social et environnemental problématique. Il n’existe pas de recours politique et légal qui vaille au Canada pour contrôler la situation. Notre communication vise à rappeler comment l’histoire de cette législation méconnue le prédestinait à ce rôle dans le contexte de la mondialisation commerciale et financière contemporaine.</w:t>
      </w:r>
    </w:p>
    <w:p w14:paraId="3667BA27" w14:textId="77777777" w:rsidR="00697E9D" w:rsidRDefault="00697E9D" w:rsidP="00697E9D">
      <w:pPr>
        <w:jc w:val="both"/>
      </w:pPr>
    </w:p>
    <w:p w14:paraId="445D3492" w14:textId="64AC99C9" w:rsidR="00697E9D" w:rsidRDefault="00697E9D" w:rsidP="00697E9D">
      <w:pPr>
        <w:pStyle w:val="Paragraphedeliste"/>
        <w:numPr>
          <w:ilvl w:val="0"/>
          <w:numId w:val="5"/>
        </w:numPr>
        <w:jc w:val="both"/>
        <w:rPr>
          <w:b/>
          <w:sz w:val="22"/>
        </w:rPr>
      </w:pPr>
      <w:r>
        <w:rPr>
          <w:b/>
          <w:sz w:val="22"/>
        </w:rPr>
        <w:t>Vers quelles collaborations</w:t>
      </w:r>
      <w:r w:rsidR="005D2DE3">
        <w:rPr>
          <w:b/>
          <w:sz w:val="22"/>
        </w:rPr>
        <w:t xml:space="preserve"> entre chercheurs, associations et citoyens ?</w:t>
      </w:r>
    </w:p>
    <w:p w14:paraId="46B6AD0A" w14:textId="77777777" w:rsidR="00697E9D" w:rsidRDefault="00697E9D" w:rsidP="00697E9D">
      <w:pPr>
        <w:pStyle w:val="Paragraphedeliste"/>
        <w:ind w:left="360"/>
        <w:jc w:val="both"/>
        <w:rPr>
          <w:b/>
          <w:sz w:val="22"/>
        </w:rPr>
      </w:pPr>
      <w:r>
        <w:rPr>
          <w:i/>
          <w:sz w:val="22"/>
        </w:rPr>
        <w:t xml:space="preserve">Yanick </w:t>
      </w:r>
      <w:proofErr w:type="spellStart"/>
      <w:r>
        <w:rPr>
          <w:i/>
          <w:sz w:val="22"/>
        </w:rPr>
        <w:t>Lasica</w:t>
      </w:r>
      <w:proofErr w:type="spellEnd"/>
      <w:r>
        <w:rPr>
          <w:i/>
          <w:sz w:val="22"/>
        </w:rPr>
        <w:t xml:space="preserve"> – Fondation Sciences citoyennes</w:t>
      </w:r>
    </w:p>
    <w:p w14:paraId="691936F7" w14:textId="77777777" w:rsidR="00697E9D" w:rsidRDefault="00697E9D" w:rsidP="00697E9D">
      <w:pPr>
        <w:pStyle w:val="Paragraphedeliste"/>
        <w:ind w:left="360"/>
        <w:jc w:val="both"/>
        <w:rPr>
          <w:b/>
          <w:sz w:val="22"/>
        </w:rPr>
      </w:pPr>
    </w:p>
    <w:p w14:paraId="075E95E0" w14:textId="57881F6A" w:rsidR="00697E9D" w:rsidRPr="00697E9D" w:rsidRDefault="00697E9D" w:rsidP="00697E9D">
      <w:pPr>
        <w:pStyle w:val="Paragraphedeliste"/>
        <w:ind w:left="0"/>
        <w:jc w:val="both"/>
        <w:rPr>
          <w:b/>
          <w:sz w:val="22"/>
        </w:rPr>
      </w:pPr>
      <w:r w:rsidRPr="004260A6">
        <w:rPr>
          <w:sz w:val="22"/>
          <w:u w:val="single"/>
        </w:rPr>
        <w:t>Résumé</w:t>
      </w:r>
      <w:r w:rsidRPr="00DB284A">
        <w:rPr>
          <w:sz w:val="22"/>
        </w:rPr>
        <w:t xml:space="preserve"> : </w:t>
      </w:r>
      <w:r w:rsidRPr="00697E9D">
        <w:rPr>
          <w:rFonts w:cs="Calibri"/>
        </w:rPr>
        <w:t>Cette contribution en miroir des interventions et débats déroulés au cours de cette journée d’étude, livrera à chaud des</w:t>
      </w:r>
      <w:r w:rsidRPr="00697E9D">
        <w:rPr>
          <w:rFonts w:ascii="Calibri" w:hAnsi="Calibri" w:cs="Calibri"/>
          <w:sz w:val="32"/>
          <w:szCs w:val="32"/>
        </w:rPr>
        <w:t xml:space="preserve"> </w:t>
      </w:r>
      <w:r w:rsidRPr="00697E9D">
        <w:rPr>
          <w:rFonts w:cs="Calibri"/>
        </w:rPr>
        <w:t xml:space="preserve">éléments de synthèse, des interrogations, remarques et conclusions. Il s’agit ensuite, au regard des sciences dites citoyennes, d’évoquer les perspectives au-delà de cette journée, en terme de collaborations entre des chercheurs, des </w:t>
      </w:r>
      <w:r w:rsidR="005D2DE3">
        <w:rPr>
          <w:rFonts w:cs="Calibri"/>
        </w:rPr>
        <w:t>associations</w:t>
      </w:r>
      <w:bookmarkStart w:id="0" w:name="_GoBack"/>
      <w:bookmarkEnd w:id="0"/>
      <w:r w:rsidRPr="00697E9D">
        <w:rPr>
          <w:rFonts w:cs="Calibri"/>
        </w:rPr>
        <w:t xml:space="preserve"> et des citoyens.</w:t>
      </w:r>
    </w:p>
    <w:p w14:paraId="52A85451" w14:textId="77777777" w:rsidR="00697E9D" w:rsidRPr="00697E9D" w:rsidRDefault="00697E9D" w:rsidP="00697E9D">
      <w:pPr>
        <w:jc w:val="both"/>
        <w:rPr>
          <w:u w:val="single"/>
        </w:rPr>
      </w:pPr>
    </w:p>
    <w:p w14:paraId="1EB78C22" w14:textId="77777777" w:rsidR="00697E9D" w:rsidRPr="00973A34" w:rsidRDefault="00697E9D" w:rsidP="00697E9D">
      <w:pPr>
        <w:pStyle w:val="Paragraphedeliste"/>
        <w:jc w:val="both"/>
        <w:rPr>
          <w:b/>
          <w:sz w:val="22"/>
        </w:rPr>
      </w:pPr>
    </w:p>
    <w:p w14:paraId="0287ACA0" w14:textId="77777777" w:rsidR="00697E9D" w:rsidRPr="00697E9D" w:rsidRDefault="00697E9D" w:rsidP="00697E9D">
      <w:pPr>
        <w:jc w:val="both"/>
        <w:rPr>
          <w:sz w:val="22"/>
          <w:u w:val="single"/>
        </w:rPr>
      </w:pPr>
    </w:p>
    <w:sectPr w:rsidR="00697E9D" w:rsidRPr="00697E9D" w:rsidSect="000B6175">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5F2AE" w14:textId="77777777" w:rsidR="00DB284A" w:rsidRDefault="00DB284A" w:rsidP="00F70AA5">
      <w:r>
        <w:separator/>
      </w:r>
    </w:p>
  </w:endnote>
  <w:endnote w:type="continuationSeparator" w:id="0">
    <w:p w14:paraId="1CED567D" w14:textId="77777777" w:rsidR="00DB284A" w:rsidRDefault="00DB284A" w:rsidP="00F7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4207A" w14:textId="77777777" w:rsidR="00D646CA" w:rsidRDefault="00D646CA" w:rsidP="000D2F3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82EB81E" w14:textId="77777777" w:rsidR="00D646CA" w:rsidRDefault="00D646CA" w:rsidP="00D646C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D6B7" w14:textId="77777777" w:rsidR="00D646CA" w:rsidRDefault="00D646CA" w:rsidP="000D2F3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2DE3">
      <w:rPr>
        <w:rStyle w:val="Numrodepage"/>
        <w:noProof/>
      </w:rPr>
      <w:t>6</w:t>
    </w:r>
    <w:r>
      <w:rPr>
        <w:rStyle w:val="Numrodepage"/>
      </w:rPr>
      <w:fldChar w:fldCharType="end"/>
    </w:r>
  </w:p>
  <w:p w14:paraId="00A0133C" w14:textId="77777777" w:rsidR="00DB284A" w:rsidRDefault="00DB284A" w:rsidP="00D646CA">
    <w:pPr>
      <w:pStyle w:val="Pieddepage"/>
      <w:ind w:right="360"/>
    </w:pPr>
    <w:r>
      <w:rPr>
        <w:noProof/>
      </w:rPr>
      <w:drawing>
        <wp:anchor distT="0" distB="0" distL="114300" distR="114300" simplePos="0" relativeHeight="251659264" behindDoc="0" locked="0" layoutInCell="1" allowOverlap="1" wp14:anchorId="312298D6" wp14:editId="174E1AA2">
          <wp:simplePos x="0" y="0"/>
          <wp:positionH relativeFrom="column">
            <wp:posOffset>3964305</wp:posOffset>
          </wp:positionH>
          <wp:positionV relativeFrom="paragraph">
            <wp:posOffset>-161925</wp:posOffset>
          </wp:positionV>
          <wp:extent cx="1643380" cy="640715"/>
          <wp:effectExtent l="1905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3-03-10 à 17.33.20.png"/>
                  <pic:cNvPicPr/>
                </pic:nvPicPr>
                <pic:blipFill>
                  <a:blip r:embed="rId1">
                    <a:extLst>
                      <a:ext uri="{28A0092B-C50C-407E-A947-70E740481C1C}">
                        <a14:useLocalDpi xmlns:a14="http://schemas.microsoft.com/office/drawing/2010/main" val="0"/>
                      </a:ext>
                    </a:extLst>
                  </a:blip>
                  <a:stretch>
                    <a:fillRect/>
                  </a:stretch>
                </pic:blipFill>
                <pic:spPr>
                  <a:xfrm>
                    <a:off x="0" y="0"/>
                    <a:ext cx="1643380" cy="640715"/>
                  </a:xfrm>
                  <a:prstGeom prst="rect">
                    <a:avLst/>
                  </a:prstGeom>
                  <a:extLst>
                    <a:ext uri="{FAA26D3D-D897-4be2-8F04-BA451C77F1D7}">
                      <ma14:placeholderFlag xmlns:ma14="http://schemas.microsoft.com/office/mac/drawingml/2011/main"/>
                    </a:ext>
                  </a:extLst>
                </pic:spPr>
              </pic:pic>
            </a:graphicData>
          </a:graphic>
        </wp:anchor>
      </w:drawing>
    </w:r>
    <w:r w:rsidRPr="00605577">
      <w:rPr>
        <w:noProof/>
      </w:rPr>
      <w:drawing>
        <wp:anchor distT="0" distB="0" distL="114300" distR="114300" simplePos="0" relativeHeight="251661312" behindDoc="0" locked="0" layoutInCell="1" allowOverlap="1" wp14:anchorId="2A607343" wp14:editId="51328839">
          <wp:simplePos x="0" y="0"/>
          <wp:positionH relativeFrom="column">
            <wp:posOffset>-251460</wp:posOffset>
          </wp:positionH>
          <wp:positionV relativeFrom="paragraph">
            <wp:posOffset>-161925</wp:posOffset>
          </wp:positionV>
          <wp:extent cx="2878455" cy="676275"/>
          <wp:effectExtent l="19050" t="0" r="0" b="0"/>
          <wp:wrapSquare wrapText="bothSides"/>
          <wp:docPr id="23" name="Image 1" descr="C:\Users\Bisson\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son\Desktop\unnamed.png"/>
                  <pic:cNvPicPr>
                    <a:picLocks noChangeAspect="1" noChangeArrowheads="1"/>
                  </pic:cNvPicPr>
                </pic:nvPicPr>
                <pic:blipFill>
                  <a:blip r:embed="rId2"/>
                  <a:srcRect/>
                  <a:stretch>
                    <a:fillRect/>
                  </a:stretch>
                </pic:blipFill>
                <pic:spPr bwMode="auto">
                  <a:xfrm>
                    <a:off x="0" y="0"/>
                    <a:ext cx="2878455" cy="6762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9BE54" w14:textId="77777777" w:rsidR="00DB284A" w:rsidRDefault="00DB284A" w:rsidP="00F70AA5">
      <w:r>
        <w:separator/>
      </w:r>
    </w:p>
  </w:footnote>
  <w:footnote w:type="continuationSeparator" w:id="0">
    <w:p w14:paraId="4EBC4634" w14:textId="77777777" w:rsidR="00DB284A" w:rsidRDefault="00DB284A" w:rsidP="00F70A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56620"/>
    <w:multiLevelType w:val="hybridMultilevel"/>
    <w:tmpl w:val="404CE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AA16F4"/>
    <w:multiLevelType w:val="hybridMultilevel"/>
    <w:tmpl w:val="9B8CE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4E4401D"/>
    <w:multiLevelType w:val="hybridMultilevel"/>
    <w:tmpl w:val="C6C860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B167AB0"/>
    <w:multiLevelType w:val="hybridMultilevel"/>
    <w:tmpl w:val="023AB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0519A3"/>
    <w:multiLevelType w:val="hybridMultilevel"/>
    <w:tmpl w:val="900EE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C56209"/>
    <w:multiLevelType w:val="hybridMultilevel"/>
    <w:tmpl w:val="7B8E8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8C"/>
    <w:rsid w:val="00017848"/>
    <w:rsid w:val="000238F4"/>
    <w:rsid w:val="0009326B"/>
    <w:rsid w:val="000B0861"/>
    <w:rsid w:val="000B6175"/>
    <w:rsid w:val="000E3548"/>
    <w:rsid w:val="000F67B6"/>
    <w:rsid w:val="00153EA4"/>
    <w:rsid w:val="00170BA8"/>
    <w:rsid w:val="001B1036"/>
    <w:rsid w:val="0022030C"/>
    <w:rsid w:val="002837A9"/>
    <w:rsid w:val="002E4B3F"/>
    <w:rsid w:val="002E6974"/>
    <w:rsid w:val="003075CB"/>
    <w:rsid w:val="003D2CDB"/>
    <w:rsid w:val="003E0F20"/>
    <w:rsid w:val="00401C35"/>
    <w:rsid w:val="004260A6"/>
    <w:rsid w:val="00445896"/>
    <w:rsid w:val="004655E6"/>
    <w:rsid w:val="004B0B4E"/>
    <w:rsid w:val="004C0302"/>
    <w:rsid w:val="004D52FC"/>
    <w:rsid w:val="0051239A"/>
    <w:rsid w:val="00525C1C"/>
    <w:rsid w:val="00551D5C"/>
    <w:rsid w:val="005815AA"/>
    <w:rsid w:val="005C00A1"/>
    <w:rsid w:val="005D2DE3"/>
    <w:rsid w:val="00603174"/>
    <w:rsid w:val="00605577"/>
    <w:rsid w:val="00625541"/>
    <w:rsid w:val="0067580F"/>
    <w:rsid w:val="00690F5E"/>
    <w:rsid w:val="00697E9D"/>
    <w:rsid w:val="006F1684"/>
    <w:rsid w:val="00736A01"/>
    <w:rsid w:val="00751DEF"/>
    <w:rsid w:val="00810A1E"/>
    <w:rsid w:val="008C2FC5"/>
    <w:rsid w:val="00902537"/>
    <w:rsid w:val="009145A9"/>
    <w:rsid w:val="00973A34"/>
    <w:rsid w:val="0098779E"/>
    <w:rsid w:val="009D142C"/>
    <w:rsid w:val="00A6319F"/>
    <w:rsid w:val="00AB2C0D"/>
    <w:rsid w:val="00AC1937"/>
    <w:rsid w:val="00AD0D8C"/>
    <w:rsid w:val="00B133C2"/>
    <w:rsid w:val="00BC2D67"/>
    <w:rsid w:val="00BC3417"/>
    <w:rsid w:val="00C43370"/>
    <w:rsid w:val="00CC26AC"/>
    <w:rsid w:val="00D2326C"/>
    <w:rsid w:val="00D646CA"/>
    <w:rsid w:val="00DB284A"/>
    <w:rsid w:val="00E442E7"/>
    <w:rsid w:val="00E74B0B"/>
    <w:rsid w:val="00E75724"/>
    <w:rsid w:val="00E8011B"/>
    <w:rsid w:val="00E850E4"/>
    <w:rsid w:val="00F70AA5"/>
    <w:rsid w:val="00F84AAC"/>
    <w:rsid w:val="00FD773D"/>
    <w:rsid w:val="00FE0B1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28FF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FD77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0AA5"/>
    <w:rPr>
      <w:rFonts w:ascii="Tahoma" w:hAnsi="Tahoma" w:cs="Tahoma"/>
      <w:sz w:val="16"/>
      <w:szCs w:val="16"/>
    </w:rPr>
  </w:style>
  <w:style w:type="character" w:customStyle="1" w:styleId="TextedebullesCar">
    <w:name w:val="Texte de bulles Car"/>
    <w:basedOn w:val="Policepardfaut"/>
    <w:link w:val="Textedebulles"/>
    <w:uiPriority w:val="99"/>
    <w:semiHidden/>
    <w:rsid w:val="00F70AA5"/>
    <w:rPr>
      <w:rFonts w:ascii="Tahoma" w:hAnsi="Tahoma" w:cs="Tahoma"/>
      <w:sz w:val="16"/>
      <w:szCs w:val="16"/>
    </w:rPr>
  </w:style>
  <w:style w:type="paragraph" w:styleId="En-tte">
    <w:name w:val="header"/>
    <w:basedOn w:val="Normal"/>
    <w:link w:val="En-tteCar"/>
    <w:uiPriority w:val="99"/>
    <w:semiHidden/>
    <w:unhideWhenUsed/>
    <w:rsid w:val="00F70AA5"/>
    <w:pPr>
      <w:tabs>
        <w:tab w:val="center" w:pos="4536"/>
        <w:tab w:val="right" w:pos="9072"/>
      </w:tabs>
    </w:pPr>
  </w:style>
  <w:style w:type="character" w:customStyle="1" w:styleId="En-tteCar">
    <w:name w:val="En-tête Car"/>
    <w:basedOn w:val="Policepardfaut"/>
    <w:link w:val="En-tte"/>
    <w:uiPriority w:val="99"/>
    <w:semiHidden/>
    <w:rsid w:val="00F70AA5"/>
  </w:style>
  <w:style w:type="paragraph" w:styleId="Pieddepage">
    <w:name w:val="footer"/>
    <w:basedOn w:val="Normal"/>
    <w:link w:val="PieddepageCar"/>
    <w:uiPriority w:val="99"/>
    <w:unhideWhenUsed/>
    <w:rsid w:val="00F70AA5"/>
    <w:pPr>
      <w:tabs>
        <w:tab w:val="center" w:pos="4536"/>
        <w:tab w:val="right" w:pos="9072"/>
      </w:tabs>
    </w:pPr>
  </w:style>
  <w:style w:type="character" w:customStyle="1" w:styleId="PieddepageCar">
    <w:name w:val="Pied de page Car"/>
    <w:basedOn w:val="Policepardfaut"/>
    <w:link w:val="Pieddepage"/>
    <w:uiPriority w:val="99"/>
    <w:rsid w:val="00F70AA5"/>
  </w:style>
  <w:style w:type="paragraph" w:styleId="Paragraphedeliste">
    <w:name w:val="List Paragraph"/>
    <w:basedOn w:val="Normal"/>
    <w:uiPriority w:val="99"/>
    <w:qFormat/>
    <w:rsid w:val="00973A34"/>
    <w:pPr>
      <w:ind w:left="720"/>
      <w:contextualSpacing/>
    </w:pPr>
  </w:style>
  <w:style w:type="character" w:styleId="Lienhypertexte">
    <w:name w:val="Hyperlink"/>
    <w:basedOn w:val="Policepardfaut"/>
    <w:uiPriority w:val="99"/>
    <w:unhideWhenUsed/>
    <w:rsid w:val="00AB2C0D"/>
    <w:rPr>
      <w:color w:val="0000FF" w:themeColor="hyperlink"/>
      <w:u w:val="single"/>
    </w:rPr>
  </w:style>
  <w:style w:type="character" w:customStyle="1" w:styleId="Titre2Car">
    <w:name w:val="Titre 2 Car"/>
    <w:basedOn w:val="Policepardfaut"/>
    <w:link w:val="Titre2"/>
    <w:uiPriority w:val="9"/>
    <w:rsid w:val="00FD773D"/>
    <w:rPr>
      <w:rFonts w:asciiTheme="majorHAnsi" w:eastAsiaTheme="majorEastAsia" w:hAnsiTheme="majorHAnsi" w:cstheme="majorBidi"/>
      <w:b/>
      <w:bCs/>
      <w:color w:val="4F81BD" w:themeColor="accent1"/>
      <w:sz w:val="26"/>
      <w:szCs w:val="26"/>
    </w:rPr>
  </w:style>
  <w:style w:type="character" w:customStyle="1" w:styleId="st">
    <w:name w:val="st"/>
    <w:basedOn w:val="Policepardfaut"/>
    <w:rsid w:val="00445896"/>
  </w:style>
  <w:style w:type="character" w:customStyle="1" w:styleId="apple-converted-space">
    <w:name w:val="apple-converted-space"/>
    <w:basedOn w:val="Policepardfaut"/>
    <w:rsid w:val="00E442E7"/>
  </w:style>
  <w:style w:type="paragraph" w:styleId="Sansinterligne">
    <w:name w:val="No Spacing"/>
    <w:uiPriority w:val="1"/>
    <w:qFormat/>
    <w:rsid w:val="00FE0B10"/>
    <w:pPr>
      <w:ind w:left="714" w:hanging="357"/>
      <w:jc w:val="both"/>
    </w:pPr>
    <w:rPr>
      <w:rFonts w:eastAsiaTheme="minorHAnsi"/>
      <w:sz w:val="22"/>
      <w:szCs w:val="22"/>
      <w:lang w:eastAsia="en-US"/>
    </w:rPr>
  </w:style>
  <w:style w:type="paragraph" w:styleId="Titre">
    <w:name w:val="Title"/>
    <w:basedOn w:val="Normal"/>
    <w:next w:val="Normal"/>
    <w:link w:val="TitreCar"/>
    <w:uiPriority w:val="10"/>
    <w:qFormat/>
    <w:rsid w:val="004260A6"/>
    <w:pPr>
      <w:pBdr>
        <w:bottom w:val="single" w:sz="8" w:space="4" w:color="4F81BD" w:themeColor="accent1"/>
      </w:pBdr>
      <w:spacing w:after="300"/>
      <w:ind w:left="714" w:hanging="357"/>
      <w:contextualSpacing/>
      <w:jc w:val="both"/>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4260A6"/>
    <w:rPr>
      <w:rFonts w:asciiTheme="majorHAnsi" w:eastAsiaTheme="majorEastAsia" w:hAnsiTheme="majorHAnsi" w:cstheme="majorBidi"/>
      <w:color w:val="17365D" w:themeColor="text2" w:themeShade="BF"/>
      <w:spacing w:val="5"/>
      <w:kern w:val="28"/>
      <w:sz w:val="52"/>
      <w:szCs w:val="52"/>
      <w:lang w:eastAsia="en-US"/>
    </w:rPr>
  </w:style>
  <w:style w:type="character" w:styleId="Numrodepage">
    <w:name w:val="page number"/>
    <w:basedOn w:val="Policepardfaut"/>
    <w:uiPriority w:val="99"/>
    <w:semiHidden/>
    <w:unhideWhenUsed/>
    <w:rsid w:val="00D646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FD77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0AA5"/>
    <w:rPr>
      <w:rFonts w:ascii="Tahoma" w:hAnsi="Tahoma" w:cs="Tahoma"/>
      <w:sz w:val="16"/>
      <w:szCs w:val="16"/>
    </w:rPr>
  </w:style>
  <w:style w:type="character" w:customStyle="1" w:styleId="TextedebullesCar">
    <w:name w:val="Texte de bulles Car"/>
    <w:basedOn w:val="Policepardfaut"/>
    <w:link w:val="Textedebulles"/>
    <w:uiPriority w:val="99"/>
    <w:semiHidden/>
    <w:rsid w:val="00F70AA5"/>
    <w:rPr>
      <w:rFonts w:ascii="Tahoma" w:hAnsi="Tahoma" w:cs="Tahoma"/>
      <w:sz w:val="16"/>
      <w:szCs w:val="16"/>
    </w:rPr>
  </w:style>
  <w:style w:type="paragraph" w:styleId="En-tte">
    <w:name w:val="header"/>
    <w:basedOn w:val="Normal"/>
    <w:link w:val="En-tteCar"/>
    <w:uiPriority w:val="99"/>
    <w:semiHidden/>
    <w:unhideWhenUsed/>
    <w:rsid w:val="00F70AA5"/>
    <w:pPr>
      <w:tabs>
        <w:tab w:val="center" w:pos="4536"/>
        <w:tab w:val="right" w:pos="9072"/>
      </w:tabs>
    </w:pPr>
  </w:style>
  <w:style w:type="character" w:customStyle="1" w:styleId="En-tteCar">
    <w:name w:val="En-tête Car"/>
    <w:basedOn w:val="Policepardfaut"/>
    <w:link w:val="En-tte"/>
    <w:uiPriority w:val="99"/>
    <w:semiHidden/>
    <w:rsid w:val="00F70AA5"/>
  </w:style>
  <w:style w:type="paragraph" w:styleId="Pieddepage">
    <w:name w:val="footer"/>
    <w:basedOn w:val="Normal"/>
    <w:link w:val="PieddepageCar"/>
    <w:uiPriority w:val="99"/>
    <w:unhideWhenUsed/>
    <w:rsid w:val="00F70AA5"/>
    <w:pPr>
      <w:tabs>
        <w:tab w:val="center" w:pos="4536"/>
        <w:tab w:val="right" w:pos="9072"/>
      </w:tabs>
    </w:pPr>
  </w:style>
  <w:style w:type="character" w:customStyle="1" w:styleId="PieddepageCar">
    <w:name w:val="Pied de page Car"/>
    <w:basedOn w:val="Policepardfaut"/>
    <w:link w:val="Pieddepage"/>
    <w:uiPriority w:val="99"/>
    <w:rsid w:val="00F70AA5"/>
  </w:style>
  <w:style w:type="paragraph" w:styleId="Paragraphedeliste">
    <w:name w:val="List Paragraph"/>
    <w:basedOn w:val="Normal"/>
    <w:uiPriority w:val="99"/>
    <w:qFormat/>
    <w:rsid w:val="00973A34"/>
    <w:pPr>
      <w:ind w:left="720"/>
      <w:contextualSpacing/>
    </w:pPr>
  </w:style>
  <w:style w:type="character" w:styleId="Lienhypertexte">
    <w:name w:val="Hyperlink"/>
    <w:basedOn w:val="Policepardfaut"/>
    <w:uiPriority w:val="99"/>
    <w:unhideWhenUsed/>
    <w:rsid w:val="00AB2C0D"/>
    <w:rPr>
      <w:color w:val="0000FF" w:themeColor="hyperlink"/>
      <w:u w:val="single"/>
    </w:rPr>
  </w:style>
  <w:style w:type="character" w:customStyle="1" w:styleId="Titre2Car">
    <w:name w:val="Titre 2 Car"/>
    <w:basedOn w:val="Policepardfaut"/>
    <w:link w:val="Titre2"/>
    <w:uiPriority w:val="9"/>
    <w:rsid w:val="00FD773D"/>
    <w:rPr>
      <w:rFonts w:asciiTheme="majorHAnsi" w:eastAsiaTheme="majorEastAsia" w:hAnsiTheme="majorHAnsi" w:cstheme="majorBidi"/>
      <w:b/>
      <w:bCs/>
      <w:color w:val="4F81BD" w:themeColor="accent1"/>
      <w:sz w:val="26"/>
      <w:szCs w:val="26"/>
    </w:rPr>
  </w:style>
  <w:style w:type="character" w:customStyle="1" w:styleId="st">
    <w:name w:val="st"/>
    <w:basedOn w:val="Policepardfaut"/>
    <w:rsid w:val="00445896"/>
  </w:style>
  <w:style w:type="character" w:customStyle="1" w:styleId="apple-converted-space">
    <w:name w:val="apple-converted-space"/>
    <w:basedOn w:val="Policepardfaut"/>
    <w:rsid w:val="00E442E7"/>
  </w:style>
  <w:style w:type="paragraph" w:styleId="Sansinterligne">
    <w:name w:val="No Spacing"/>
    <w:uiPriority w:val="1"/>
    <w:qFormat/>
    <w:rsid w:val="00FE0B10"/>
    <w:pPr>
      <w:ind w:left="714" w:hanging="357"/>
      <w:jc w:val="both"/>
    </w:pPr>
    <w:rPr>
      <w:rFonts w:eastAsiaTheme="minorHAnsi"/>
      <w:sz w:val="22"/>
      <w:szCs w:val="22"/>
      <w:lang w:eastAsia="en-US"/>
    </w:rPr>
  </w:style>
  <w:style w:type="paragraph" w:styleId="Titre">
    <w:name w:val="Title"/>
    <w:basedOn w:val="Normal"/>
    <w:next w:val="Normal"/>
    <w:link w:val="TitreCar"/>
    <w:uiPriority w:val="10"/>
    <w:qFormat/>
    <w:rsid w:val="004260A6"/>
    <w:pPr>
      <w:pBdr>
        <w:bottom w:val="single" w:sz="8" w:space="4" w:color="4F81BD" w:themeColor="accent1"/>
      </w:pBdr>
      <w:spacing w:after="300"/>
      <w:ind w:left="714" w:hanging="357"/>
      <w:contextualSpacing/>
      <w:jc w:val="both"/>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4260A6"/>
    <w:rPr>
      <w:rFonts w:asciiTheme="majorHAnsi" w:eastAsiaTheme="majorEastAsia" w:hAnsiTheme="majorHAnsi" w:cstheme="majorBidi"/>
      <w:color w:val="17365D" w:themeColor="text2" w:themeShade="BF"/>
      <w:spacing w:val="5"/>
      <w:kern w:val="28"/>
      <w:sz w:val="52"/>
      <w:szCs w:val="52"/>
      <w:lang w:eastAsia="en-US"/>
    </w:rPr>
  </w:style>
  <w:style w:type="character" w:styleId="Numrodepage">
    <w:name w:val="page number"/>
    <w:basedOn w:val="Policepardfaut"/>
    <w:uiPriority w:val="99"/>
    <w:semiHidden/>
    <w:unhideWhenUsed/>
    <w:rsid w:val="00D6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ournee.plrt@gmail.com" TargetMode="External"/><Relationship Id="rId12" Type="http://schemas.openxmlformats.org/officeDocument/2006/relationships/hyperlink" Target="journeeplrt.wordpress.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1957</Words>
  <Characters>10765</Characters>
  <Application>Microsoft Macintosh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Avec le soutien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Leclerc-Olive</dc:creator>
  <cp:keywords/>
  <dc:description/>
  <cp:lastModifiedBy>Michele Leclerc-Olive</cp:lastModifiedBy>
  <cp:revision>4</cp:revision>
  <cp:lastPrinted>2014-04-01T11:26:00Z</cp:lastPrinted>
  <dcterms:created xsi:type="dcterms:W3CDTF">2014-05-20T09:10:00Z</dcterms:created>
  <dcterms:modified xsi:type="dcterms:W3CDTF">2014-05-20T09:38:00Z</dcterms:modified>
</cp:coreProperties>
</file>