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88" w:rsidRDefault="00076DA6" w:rsidP="00496173">
      <w:pPr>
        <w:pBdr>
          <w:bottom w:val="single" w:sz="4" w:space="1" w:color="auto"/>
        </w:pBdr>
        <w:jc w:val="both"/>
        <w:rPr>
          <w:rFonts w:ascii="Cambria" w:hAnsi="Cambria"/>
          <w:b/>
          <w:sz w:val="36"/>
          <w:szCs w:val="36"/>
        </w:rPr>
      </w:pPr>
      <w:r w:rsidRPr="003D611E">
        <w:rPr>
          <w:rFonts w:ascii="Cambria" w:hAnsi="Cambria"/>
          <w:b/>
          <w:sz w:val="36"/>
          <w:szCs w:val="36"/>
        </w:rPr>
        <w:t xml:space="preserve">APPEL </w:t>
      </w:r>
      <w:r>
        <w:rPr>
          <w:rFonts w:ascii="Cambria" w:hAnsi="Cambria"/>
          <w:b/>
          <w:sz w:val="36"/>
          <w:szCs w:val="36"/>
        </w:rPr>
        <w:t>À COMMUNICATIONS</w:t>
      </w:r>
    </w:p>
    <w:p w:rsidR="00496173" w:rsidRDefault="00496173" w:rsidP="00496173">
      <w:pPr>
        <w:rPr>
          <w:rFonts w:ascii="Cambria" w:hAnsi="Cambria"/>
          <w:b/>
          <w:sz w:val="24"/>
          <w:szCs w:val="24"/>
        </w:rPr>
      </w:pPr>
    </w:p>
    <w:p w:rsidR="00496173" w:rsidRDefault="00496173" w:rsidP="00496173">
      <w:pPr>
        <w:rPr>
          <w:rFonts w:ascii="Cambria" w:hAnsi="Cambria"/>
          <w:b/>
          <w:sz w:val="24"/>
          <w:szCs w:val="24"/>
        </w:rPr>
      </w:pPr>
    </w:p>
    <w:p w:rsidR="00496173" w:rsidRDefault="00496173" w:rsidP="00496173">
      <w:pPr>
        <w:jc w:val="center"/>
        <w:rPr>
          <w:rFonts w:ascii="Cambria" w:hAnsi="Cambria"/>
          <w:b/>
          <w:sz w:val="32"/>
          <w:szCs w:val="32"/>
        </w:rPr>
      </w:pPr>
      <w:r w:rsidRPr="00496173">
        <w:rPr>
          <w:rFonts w:ascii="Cambria" w:hAnsi="Cambria"/>
          <w:b/>
          <w:sz w:val="32"/>
          <w:szCs w:val="32"/>
        </w:rPr>
        <w:t>Journée d’études</w:t>
      </w:r>
      <w:r w:rsidR="00A669FD">
        <w:rPr>
          <w:rFonts w:ascii="Cambria" w:hAnsi="Cambria"/>
          <w:b/>
          <w:sz w:val="32"/>
          <w:szCs w:val="32"/>
        </w:rPr>
        <w:t> :</w:t>
      </w:r>
    </w:p>
    <w:p w:rsidR="00A669FD" w:rsidRPr="00496173" w:rsidRDefault="00A669FD" w:rsidP="00496173">
      <w:pPr>
        <w:jc w:val="center"/>
        <w:rPr>
          <w:rFonts w:ascii="Cambria" w:hAnsi="Cambria"/>
          <w:b/>
          <w:sz w:val="32"/>
          <w:szCs w:val="32"/>
        </w:rPr>
      </w:pPr>
    </w:p>
    <w:p w:rsidR="006F57E4" w:rsidRPr="00A669FD" w:rsidRDefault="00A669FD" w:rsidP="00496173">
      <w:pPr>
        <w:jc w:val="center"/>
        <w:rPr>
          <w:rFonts w:ascii="Cambria" w:hAnsi="Cambria"/>
          <w:b/>
          <w:sz w:val="44"/>
          <w:szCs w:val="44"/>
        </w:rPr>
      </w:pPr>
      <w:r w:rsidRPr="00A669FD">
        <w:rPr>
          <w:rFonts w:ascii="Cambria" w:hAnsi="Cambria"/>
          <w:b/>
          <w:sz w:val="44"/>
          <w:szCs w:val="44"/>
        </w:rPr>
        <w:t>Sortir la nuit.</w:t>
      </w:r>
    </w:p>
    <w:p w:rsidR="00A669FD" w:rsidRPr="00FC3A28" w:rsidRDefault="00A45C54" w:rsidP="00496173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Rapports sociaux de sexe, perceptions et usages nocturnes des espaces publics.</w:t>
      </w:r>
    </w:p>
    <w:p w:rsidR="00A669FD" w:rsidRDefault="00A669FD" w:rsidP="00496173">
      <w:pPr>
        <w:jc w:val="center"/>
        <w:rPr>
          <w:rFonts w:ascii="Cambria" w:hAnsi="Cambria"/>
          <w:b/>
          <w:sz w:val="24"/>
          <w:szCs w:val="24"/>
        </w:rPr>
      </w:pPr>
    </w:p>
    <w:p w:rsidR="006F57E4" w:rsidRPr="00067912" w:rsidRDefault="006F57E4" w:rsidP="00496173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Lille, novembre 2013</w:t>
      </w:r>
    </w:p>
    <w:p w:rsidR="00496173" w:rsidRPr="003D611E" w:rsidRDefault="00496173" w:rsidP="00496173">
      <w:pPr>
        <w:jc w:val="both"/>
        <w:rPr>
          <w:rFonts w:ascii="Cambria" w:hAnsi="Cambria"/>
          <w:sz w:val="24"/>
          <w:szCs w:val="24"/>
        </w:rPr>
      </w:pPr>
    </w:p>
    <w:p w:rsidR="00496173" w:rsidRPr="003D611E" w:rsidRDefault="00496173" w:rsidP="009B077A">
      <w:pPr>
        <w:jc w:val="both"/>
        <w:rPr>
          <w:rFonts w:ascii="Cambria" w:hAnsi="Cambria"/>
          <w:b/>
          <w:sz w:val="36"/>
          <w:szCs w:val="36"/>
        </w:rPr>
      </w:pPr>
    </w:p>
    <w:p w:rsidR="009969C7" w:rsidRPr="003D611E" w:rsidRDefault="009969C7" w:rsidP="009B077A">
      <w:pPr>
        <w:jc w:val="both"/>
        <w:rPr>
          <w:rFonts w:ascii="Cambria" w:hAnsi="Cambria"/>
          <w:sz w:val="24"/>
          <w:szCs w:val="24"/>
        </w:rPr>
      </w:pPr>
    </w:p>
    <w:p w:rsidR="009969C7" w:rsidRPr="003D611E" w:rsidRDefault="009969C7" w:rsidP="009B077A">
      <w:pPr>
        <w:jc w:val="both"/>
        <w:rPr>
          <w:rFonts w:ascii="Cambria" w:hAnsi="Cambria"/>
          <w:sz w:val="24"/>
          <w:szCs w:val="24"/>
        </w:rPr>
      </w:pPr>
    </w:p>
    <w:p w:rsidR="009A6F18" w:rsidRDefault="009A6F18" w:rsidP="009A6F18">
      <w:pPr>
        <w:spacing w:after="120"/>
        <w:jc w:val="both"/>
        <w:rPr>
          <w:rFonts w:ascii="Cambria" w:hAnsi="Cambria"/>
          <w:sz w:val="22"/>
          <w:szCs w:val="22"/>
        </w:rPr>
      </w:pPr>
      <w:r w:rsidRPr="0000798B">
        <w:rPr>
          <w:rFonts w:ascii="Cambria" w:hAnsi="Cambria"/>
          <w:sz w:val="22"/>
          <w:szCs w:val="22"/>
        </w:rPr>
        <w:t>Cela fait plus de vingt ans que ces slogans retentissent régulièrement : « La rue, la nuit, femmes sans peur ! », « </w:t>
      </w:r>
      <w:r w:rsidRPr="0000798B">
        <w:rPr>
          <w:rFonts w:ascii="Cambria" w:hAnsi="Cambria"/>
          <w:i/>
          <w:iCs/>
          <w:sz w:val="22"/>
          <w:szCs w:val="22"/>
        </w:rPr>
        <w:t>Take back the night !</w:t>
      </w:r>
      <w:r w:rsidRPr="0000798B">
        <w:rPr>
          <w:rFonts w:ascii="Cambria" w:hAnsi="Cambria"/>
          <w:sz w:val="22"/>
          <w:szCs w:val="22"/>
        </w:rPr>
        <w:t> » ou « Marchons ensemble la nuit pour ne plus jamais nous faire marcher dessus ! ». S'ils ponctuent, du Québec aux États-Unis, en passant par la France, les marches féministes « de nuit », c'est que des femmes continuent à lutter pour leur droit à occuper l'espace public la nuit – comme le jour</w:t>
      </w:r>
      <w:r w:rsidR="00B63917">
        <w:rPr>
          <w:rFonts w:ascii="Cambria" w:hAnsi="Cambria"/>
          <w:sz w:val="22"/>
          <w:szCs w:val="22"/>
        </w:rPr>
        <w:t>.</w:t>
      </w:r>
      <w:r w:rsidR="00B63917" w:rsidRPr="00F86306">
        <w:rPr>
          <w:rFonts w:ascii="Cambria" w:hAnsi="Cambria"/>
          <w:color w:val="FF0000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Pourtant, </w:t>
      </w:r>
      <w:r w:rsidRPr="0000798B">
        <w:rPr>
          <w:rFonts w:ascii="Cambria" w:hAnsi="Cambria"/>
          <w:sz w:val="22"/>
          <w:szCs w:val="22"/>
        </w:rPr>
        <w:t>les dimensions spatiales du sexisme</w:t>
      </w:r>
      <w:r w:rsidR="00F86306">
        <w:rPr>
          <w:rFonts w:ascii="Cambria" w:hAnsi="Cambria"/>
          <w:sz w:val="22"/>
          <w:szCs w:val="22"/>
        </w:rPr>
        <w:t xml:space="preserve"> et leurs déclinaisons diurnes/nocturnes</w:t>
      </w:r>
      <w:r>
        <w:rPr>
          <w:rFonts w:ascii="Cambria" w:hAnsi="Cambria"/>
          <w:sz w:val="22"/>
          <w:szCs w:val="22"/>
        </w:rPr>
        <w:t xml:space="preserve"> </w:t>
      </w:r>
      <w:r w:rsidR="00F86306">
        <w:rPr>
          <w:rFonts w:ascii="Cambria" w:hAnsi="Cambria"/>
          <w:sz w:val="22"/>
          <w:szCs w:val="22"/>
        </w:rPr>
        <w:t xml:space="preserve">sont </w:t>
      </w:r>
      <w:r>
        <w:rPr>
          <w:rFonts w:ascii="Cambria" w:hAnsi="Cambria"/>
          <w:sz w:val="22"/>
          <w:szCs w:val="22"/>
        </w:rPr>
        <w:t>encore mal connues et peu étudiées.</w:t>
      </w:r>
    </w:p>
    <w:p w:rsidR="009A6F18" w:rsidRDefault="009A6F18" w:rsidP="00B63917">
      <w:pPr>
        <w:spacing w:after="120"/>
        <w:jc w:val="both"/>
        <w:rPr>
          <w:rFonts w:ascii="Cambria" w:hAnsi="Cambria"/>
          <w:sz w:val="22"/>
          <w:szCs w:val="22"/>
        </w:rPr>
      </w:pPr>
      <w:r w:rsidRPr="0000798B">
        <w:rPr>
          <w:rFonts w:ascii="Cambria" w:hAnsi="Cambria"/>
          <w:sz w:val="22"/>
          <w:szCs w:val="22"/>
        </w:rPr>
        <w:t xml:space="preserve">La </w:t>
      </w:r>
      <w:r w:rsidR="00F86306">
        <w:rPr>
          <w:rFonts w:ascii="Cambria" w:hAnsi="Cambria"/>
          <w:sz w:val="22"/>
          <w:szCs w:val="22"/>
        </w:rPr>
        <w:t>j</w:t>
      </w:r>
      <w:r>
        <w:rPr>
          <w:rFonts w:ascii="Cambria" w:hAnsi="Cambria"/>
          <w:sz w:val="22"/>
          <w:szCs w:val="22"/>
        </w:rPr>
        <w:t xml:space="preserve">ournée d’études « Sortir la nuit » </w:t>
      </w:r>
      <w:r w:rsidR="00B63917">
        <w:rPr>
          <w:rFonts w:ascii="Cambria" w:hAnsi="Cambria"/>
          <w:sz w:val="22"/>
          <w:szCs w:val="22"/>
        </w:rPr>
        <w:t>porte</w:t>
      </w:r>
      <w:r>
        <w:rPr>
          <w:rFonts w:ascii="Cambria" w:hAnsi="Cambria"/>
          <w:sz w:val="22"/>
          <w:szCs w:val="22"/>
        </w:rPr>
        <w:t xml:space="preserve"> sur</w:t>
      </w:r>
      <w:r w:rsidR="00747238">
        <w:rPr>
          <w:rFonts w:ascii="Cambria" w:hAnsi="Cambria"/>
          <w:sz w:val="22"/>
          <w:szCs w:val="22"/>
        </w:rPr>
        <w:t xml:space="preserve"> les usages et</w:t>
      </w:r>
      <w:r w:rsidRPr="0000798B">
        <w:rPr>
          <w:rFonts w:ascii="Cambria" w:hAnsi="Cambria"/>
          <w:sz w:val="22"/>
          <w:szCs w:val="22"/>
        </w:rPr>
        <w:t xml:space="preserve"> les perceptions des espaces publics la nuit au prisme des rapports sociaux de sexe. </w:t>
      </w:r>
      <w:r w:rsidR="00B63917">
        <w:rPr>
          <w:rFonts w:ascii="Cambria" w:hAnsi="Cambria"/>
          <w:sz w:val="22"/>
          <w:szCs w:val="22"/>
        </w:rPr>
        <w:t xml:space="preserve">Elle s’inscrit dans </w:t>
      </w:r>
      <w:r w:rsidRPr="008C7094">
        <w:rPr>
          <w:rFonts w:ascii="Cambria" w:hAnsi="Cambria"/>
          <w:sz w:val="22"/>
          <w:szCs w:val="22"/>
        </w:rPr>
        <w:t xml:space="preserve">un ensemble de travaux sur les usages des espaces publics réalisés </w:t>
      </w:r>
      <w:r w:rsidR="00B63917">
        <w:rPr>
          <w:rFonts w:ascii="Cambria" w:hAnsi="Cambria"/>
          <w:sz w:val="22"/>
          <w:szCs w:val="22"/>
        </w:rPr>
        <w:t xml:space="preserve">essentiellement </w:t>
      </w:r>
      <w:r w:rsidRPr="008C7094">
        <w:rPr>
          <w:rFonts w:ascii="Cambria" w:hAnsi="Cambria"/>
          <w:sz w:val="22"/>
          <w:szCs w:val="22"/>
        </w:rPr>
        <w:t>par des</w:t>
      </w:r>
      <w:r w:rsidR="00B63917">
        <w:rPr>
          <w:rFonts w:ascii="Cambria" w:hAnsi="Cambria"/>
          <w:sz w:val="22"/>
          <w:szCs w:val="22"/>
        </w:rPr>
        <w:t xml:space="preserve"> géographes et des sociologues, mais son but est de </w:t>
      </w:r>
      <w:r w:rsidRPr="008C7094">
        <w:rPr>
          <w:rFonts w:ascii="Cambria" w:hAnsi="Cambria"/>
          <w:sz w:val="22"/>
          <w:szCs w:val="22"/>
        </w:rPr>
        <w:t xml:space="preserve">faire se rejoindre deux points d'entrée dans le sujet en conjuguant des éléments souvent envisagés séparément : la prise en compte des pratiques et des représentations des femmes </w:t>
      </w:r>
      <w:r w:rsidRPr="008C7094">
        <w:rPr>
          <w:rFonts w:ascii="Cambria" w:hAnsi="Cambria"/>
          <w:i/>
          <w:iCs/>
          <w:sz w:val="22"/>
          <w:szCs w:val="22"/>
        </w:rPr>
        <w:t xml:space="preserve">et </w:t>
      </w:r>
      <w:r w:rsidRPr="008C7094">
        <w:rPr>
          <w:rFonts w:ascii="Cambria" w:hAnsi="Cambria"/>
          <w:sz w:val="22"/>
          <w:szCs w:val="22"/>
        </w:rPr>
        <w:t>des</w:t>
      </w:r>
      <w:r w:rsidRPr="008C7094">
        <w:rPr>
          <w:rFonts w:ascii="Cambria" w:hAnsi="Cambria"/>
          <w:i/>
          <w:iCs/>
          <w:sz w:val="22"/>
          <w:szCs w:val="22"/>
        </w:rPr>
        <w:t xml:space="preserve"> </w:t>
      </w:r>
      <w:r w:rsidRPr="008C7094">
        <w:rPr>
          <w:rFonts w:ascii="Cambria" w:hAnsi="Cambria"/>
          <w:sz w:val="22"/>
          <w:szCs w:val="22"/>
        </w:rPr>
        <w:t>hommes – cette deuxième catégorie d'acteurs étant absente dans les travaux des géographes – et une focale sur l'usage nocturne des espaces publics – la nuit ne constituant pas un point d'entrée spécifique dans les travaux des sociologues.</w:t>
      </w:r>
    </w:p>
    <w:p w:rsidR="009A6F18" w:rsidRDefault="00B63917" w:rsidP="009A6F18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Si la journée d’études </w:t>
      </w:r>
      <w:r w:rsidR="003D72B4">
        <w:rPr>
          <w:rFonts w:ascii="Cambria" w:hAnsi="Cambria"/>
          <w:sz w:val="22"/>
          <w:szCs w:val="22"/>
        </w:rPr>
        <w:t xml:space="preserve">« Sortir la nuit » </w:t>
      </w:r>
      <w:r>
        <w:rPr>
          <w:rFonts w:ascii="Cambria" w:hAnsi="Cambria"/>
          <w:color w:val="000000"/>
          <w:sz w:val="22"/>
          <w:szCs w:val="22"/>
        </w:rPr>
        <w:t xml:space="preserve">entend explorer prioritairement </w:t>
      </w:r>
      <w:r w:rsidRPr="0000798B">
        <w:rPr>
          <w:rFonts w:ascii="Cambria" w:hAnsi="Cambria"/>
          <w:color w:val="000000"/>
          <w:sz w:val="22"/>
          <w:szCs w:val="22"/>
        </w:rPr>
        <w:t>l'espace de la rue, lieu de passage obligé des sorties, de jour comme de nuit,</w:t>
      </w:r>
      <w:r>
        <w:rPr>
          <w:rFonts w:ascii="Cambria" w:hAnsi="Cambria"/>
          <w:color w:val="000000"/>
          <w:sz w:val="22"/>
          <w:szCs w:val="22"/>
        </w:rPr>
        <w:t xml:space="preserve"> d’autres </w:t>
      </w:r>
      <w:r w:rsidR="003D72B4">
        <w:rPr>
          <w:rFonts w:ascii="Cambria" w:hAnsi="Cambria"/>
          <w:color w:val="000000"/>
          <w:sz w:val="22"/>
          <w:szCs w:val="22"/>
        </w:rPr>
        <w:t xml:space="preserve">lieux </w:t>
      </w:r>
      <w:r>
        <w:rPr>
          <w:rFonts w:ascii="Cambria" w:hAnsi="Cambria"/>
          <w:color w:val="000000"/>
          <w:sz w:val="22"/>
          <w:szCs w:val="22"/>
        </w:rPr>
        <w:t xml:space="preserve">(parcs, places, terrasses, etc., voire même transports en commun) sont également inclus dans la définition </w:t>
      </w:r>
      <w:r w:rsidR="003D72B4">
        <w:rPr>
          <w:rFonts w:ascii="Cambria" w:hAnsi="Cambria"/>
          <w:color w:val="000000"/>
          <w:sz w:val="22"/>
          <w:szCs w:val="22"/>
        </w:rPr>
        <w:t xml:space="preserve">des espaces publics urbains retenue par </w:t>
      </w:r>
      <w:r>
        <w:rPr>
          <w:rFonts w:ascii="Cambria" w:hAnsi="Cambria"/>
          <w:color w:val="000000"/>
          <w:sz w:val="22"/>
          <w:szCs w:val="22"/>
        </w:rPr>
        <w:t>la journée</w:t>
      </w:r>
      <w:r w:rsidR="003D72B4">
        <w:rPr>
          <w:rFonts w:ascii="Cambria" w:hAnsi="Cambria"/>
          <w:color w:val="000000"/>
          <w:sz w:val="22"/>
          <w:szCs w:val="22"/>
        </w:rPr>
        <w:t xml:space="preserve"> d’études</w:t>
      </w:r>
      <w:r>
        <w:rPr>
          <w:rFonts w:ascii="Cambria" w:hAnsi="Cambria"/>
          <w:color w:val="000000"/>
          <w:sz w:val="22"/>
          <w:szCs w:val="22"/>
        </w:rPr>
        <w:t xml:space="preserve">. </w:t>
      </w:r>
    </w:p>
    <w:p w:rsidR="009A6F18" w:rsidRPr="008C7094" w:rsidRDefault="009A6F18" w:rsidP="009A6F18">
      <w:pPr>
        <w:spacing w:after="120"/>
        <w:jc w:val="both"/>
        <w:rPr>
          <w:sz w:val="24"/>
          <w:szCs w:val="24"/>
        </w:rPr>
      </w:pPr>
      <w:r>
        <w:rPr>
          <w:rFonts w:ascii="Cambria" w:hAnsi="Cambria"/>
          <w:sz w:val="22"/>
          <w:szCs w:val="22"/>
        </w:rPr>
        <w:t>Nous attendons des propositions de communications autour des trois thèmes suivants :</w:t>
      </w:r>
    </w:p>
    <w:p w:rsidR="00F86306" w:rsidRDefault="00F86306" w:rsidP="00F86306">
      <w:pPr>
        <w:spacing w:after="120"/>
        <w:jc w:val="both"/>
        <w:rPr>
          <w:rFonts w:ascii="Cambria" w:hAnsi="Cambria"/>
          <w:b/>
          <w:bCs/>
          <w:i/>
          <w:iCs/>
          <w:sz w:val="22"/>
          <w:szCs w:val="22"/>
        </w:rPr>
      </w:pPr>
      <w:r>
        <w:rPr>
          <w:rFonts w:ascii="Cambria" w:hAnsi="Cambria"/>
          <w:b/>
          <w:bCs/>
          <w:i/>
          <w:iCs/>
          <w:sz w:val="22"/>
          <w:szCs w:val="22"/>
        </w:rPr>
        <w:t>1. </w:t>
      </w:r>
      <w:r w:rsidR="00466487">
        <w:rPr>
          <w:rFonts w:ascii="Cambria" w:hAnsi="Cambria"/>
          <w:b/>
          <w:bCs/>
          <w:i/>
          <w:iCs/>
          <w:sz w:val="22"/>
          <w:szCs w:val="22"/>
        </w:rPr>
        <w:t>Nuit sociale et espaces urbains</w:t>
      </w:r>
    </w:p>
    <w:p w:rsidR="00743E3B" w:rsidRPr="00B63917" w:rsidRDefault="00743E3B" w:rsidP="00743E3B">
      <w:pPr>
        <w:pStyle w:val="Paragraphedeliste"/>
        <w:numPr>
          <w:ilvl w:val="0"/>
          <w:numId w:val="20"/>
        </w:num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Quelles sont les perceptions de la nuit en ville ? Que nous apprend l’exploration de la nuit</w:t>
      </w:r>
      <w:r w:rsidRPr="00B63917">
        <w:rPr>
          <w:rFonts w:ascii="Cambria" w:hAnsi="Cambria"/>
          <w:sz w:val="22"/>
          <w:szCs w:val="22"/>
        </w:rPr>
        <w:t xml:space="preserve"> « sociale »</w:t>
      </w:r>
      <w:r>
        <w:rPr>
          <w:rFonts w:ascii="Cambria" w:hAnsi="Cambria"/>
          <w:sz w:val="22"/>
          <w:szCs w:val="22"/>
        </w:rPr>
        <w:t xml:space="preserve"> (</w:t>
      </w:r>
      <w:r w:rsidRPr="00743E3B">
        <w:rPr>
          <w:rFonts w:ascii="Cambria" w:hAnsi="Cambria"/>
          <w:i/>
          <w:sz w:val="22"/>
          <w:szCs w:val="22"/>
        </w:rPr>
        <w:t>versus</w:t>
      </w:r>
      <w:r>
        <w:rPr>
          <w:rFonts w:ascii="Cambria" w:hAnsi="Cambria"/>
          <w:sz w:val="22"/>
          <w:szCs w:val="22"/>
        </w:rPr>
        <w:t xml:space="preserve"> la nuit « naturelle ») ?</w:t>
      </w:r>
      <w:r w:rsidRPr="00B63917">
        <w:rPr>
          <w:rFonts w:ascii="Cambria" w:hAnsi="Cambria"/>
          <w:sz w:val="22"/>
          <w:szCs w:val="22"/>
        </w:rPr>
        <w:t xml:space="preserve"> </w:t>
      </w:r>
    </w:p>
    <w:p w:rsidR="00B63917" w:rsidRDefault="00743E3B" w:rsidP="00B63917">
      <w:pPr>
        <w:pStyle w:val="Paragraphedeliste"/>
        <w:numPr>
          <w:ilvl w:val="0"/>
          <w:numId w:val="20"/>
        </w:numPr>
        <w:spacing w:after="12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Comment</w:t>
      </w:r>
      <w:r w:rsidR="00B63917" w:rsidRPr="00B63917">
        <w:rPr>
          <w:rFonts w:ascii="Cambria" w:hAnsi="Cambria"/>
          <w:color w:val="000000"/>
          <w:sz w:val="22"/>
          <w:szCs w:val="22"/>
        </w:rPr>
        <w:t xml:space="preserve"> </w:t>
      </w:r>
      <w:r w:rsidR="00466487">
        <w:rPr>
          <w:rFonts w:ascii="Cambria" w:hAnsi="Cambria"/>
          <w:color w:val="000000"/>
          <w:sz w:val="22"/>
          <w:szCs w:val="22"/>
        </w:rPr>
        <w:t>la géographie ordinaire du sexisme est-elle renforcée ou contestée lors d</w:t>
      </w:r>
      <w:r w:rsidR="00B63917" w:rsidRPr="00B63917">
        <w:rPr>
          <w:rFonts w:ascii="Cambria" w:hAnsi="Cambria"/>
          <w:color w:val="000000"/>
          <w:sz w:val="22"/>
          <w:szCs w:val="22"/>
        </w:rPr>
        <w:t xml:space="preserve">es événements </w:t>
      </w:r>
      <w:r>
        <w:rPr>
          <w:rFonts w:ascii="Cambria" w:hAnsi="Cambria"/>
          <w:color w:val="000000"/>
          <w:sz w:val="22"/>
          <w:szCs w:val="22"/>
        </w:rPr>
        <w:t xml:space="preserve">urbains </w:t>
      </w:r>
      <w:r w:rsidR="00B63917" w:rsidRPr="00B63917">
        <w:rPr>
          <w:rFonts w:ascii="Cambria" w:hAnsi="Cambria"/>
          <w:color w:val="000000"/>
          <w:sz w:val="22"/>
          <w:szCs w:val="22"/>
        </w:rPr>
        <w:t xml:space="preserve">de masse </w:t>
      </w:r>
      <w:r>
        <w:rPr>
          <w:rFonts w:ascii="Cambria" w:hAnsi="Cambria"/>
          <w:color w:val="000000"/>
          <w:sz w:val="22"/>
          <w:szCs w:val="22"/>
        </w:rPr>
        <w:t>(</w:t>
      </w:r>
      <w:r w:rsidR="00B63917" w:rsidRPr="00B63917">
        <w:rPr>
          <w:rFonts w:ascii="Cambria" w:hAnsi="Cambria"/>
          <w:color w:val="000000"/>
          <w:sz w:val="22"/>
          <w:szCs w:val="22"/>
        </w:rPr>
        <w:t xml:space="preserve">concerts gratuits en plein air, carnavals, </w:t>
      </w:r>
      <w:r>
        <w:rPr>
          <w:rFonts w:ascii="Cambria" w:hAnsi="Cambria"/>
          <w:color w:val="000000"/>
          <w:sz w:val="22"/>
          <w:szCs w:val="22"/>
        </w:rPr>
        <w:t>etc.)</w:t>
      </w:r>
      <w:r w:rsidR="00466487">
        <w:rPr>
          <w:rFonts w:ascii="Cambria" w:hAnsi="Cambria"/>
          <w:color w:val="000000"/>
          <w:sz w:val="22"/>
          <w:szCs w:val="22"/>
        </w:rPr>
        <w:t xml:space="preserve"> ? </w:t>
      </w:r>
    </w:p>
    <w:p w:rsidR="00366640" w:rsidRPr="00B63917" w:rsidRDefault="00366640" w:rsidP="00B63917">
      <w:pPr>
        <w:pStyle w:val="Paragraphedeliste"/>
        <w:numPr>
          <w:ilvl w:val="0"/>
          <w:numId w:val="20"/>
        </w:numPr>
        <w:spacing w:after="12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Que révèle le travail de nuit dans les espaces publics sur la reconfiguration et l’expression des rapports sociaux de sexe (travailleuses du sexe</w:t>
      </w:r>
      <w:r w:rsidR="00FC3A28">
        <w:rPr>
          <w:rFonts w:ascii="Cambria" w:hAnsi="Cambria"/>
          <w:color w:val="000000"/>
          <w:sz w:val="22"/>
          <w:szCs w:val="22"/>
        </w:rPr>
        <w:t>/prostituées</w:t>
      </w:r>
      <w:r>
        <w:rPr>
          <w:rFonts w:ascii="Cambria" w:hAnsi="Cambria"/>
          <w:color w:val="000000"/>
          <w:sz w:val="22"/>
          <w:szCs w:val="22"/>
        </w:rPr>
        <w:t xml:space="preserve">, </w:t>
      </w:r>
      <w:r w:rsidR="004A2973">
        <w:rPr>
          <w:rFonts w:ascii="Cambria" w:hAnsi="Cambria"/>
          <w:color w:val="000000"/>
          <w:sz w:val="22"/>
          <w:szCs w:val="22"/>
        </w:rPr>
        <w:t>serveuses et barmaids, conductrices de bus ou de taxis,</w:t>
      </w:r>
      <w:r w:rsidR="00A45C54">
        <w:rPr>
          <w:rFonts w:ascii="Cambria" w:hAnsi="Cambria"/>
          <w:color w:val="000000"/>
          <w:sz w:val="22"/>
          <w:szCs w:val="22"/>
        </w:rPr>
        <w:t xml:space="preserve"> policières,</w:t>
      </w:r>
      <w:r>
        <w:rPr>
          <w:rFonts w:ascii="Cambria" w:hAnsi="Cambria"/>
          <w:color w:val="000000"/>
          <w:sz w:val="22"/>
          <w:szCs w:val="22"/>
        </w:rPr>
        <w:t xml:space="preserve"> etc.) ?</w:t>
      </w:r>
    </w:p>
    <w:p w:rsidR="009A6F18" w:rsidRPr="00C03EF0" w:rsidRDefault="009A6F18" w:rsidP="009A6F18">
      <w:pPr>
        <w:spacing w:after="120"/>
        <w:jc w:val="both"/>
        <w:rPr>
          <w:rFonts w:ascii="Cambria" w:hAnsi="Cambria"/>
          <w:b/>
          <w:bCs/>
          <w:i/>
          <w:iCs/>
          <w:sz w:val="22"/>
          <w:szCs w:val="22"/>
        </w:rPr>
      </w:pPr>
      <w:r>
        <w:rPr>
          <w:rFonts w:ascii="Cambria" w:hAnsi="Cambria"/>
          <w:b/>
          <w:bCs/>
          <w:i/>
          <w:iCs/>
          <w:sz w:val="22"/>
          <w:szCs w:val="22"/>
        </w:rPr>
        <w:t>2. </w:t>
      </w:r>
      <w:r w:rsidRPr="00C03EF0">
        <w:rPr>
          <w:rFonts w:ascii="Cambria" w:hAnsi="Cambria"/>
          <w:b/>
          <w:bCs/>
          <w:i/>
          <w:iCs/>
          <w:sz w:val="22"/>
          <w:szCs w:val="22"/>
        </w:rPr>
        <w:t>Expérienc</w:t>
      </w:r>
      <w:r>
        <w:rPr>
          <w:rFonts w:ascii="Cambria" w:hAnsi="Cambria"/>
          <w:b/>
          <w:bCs/>
          <w:i/>
          <w:iCs/>
          <w:sz w:val="22"/>
          <w:szCs w:val="22"/>
        </w:rPr>
        <w:t>es</w:t>
      </w:r>
      <w:r w:rsidR="00466487">
        <w:rPr>
          <w:rFonts w:ascii="Cambria" w:hAnsi="Cambria"/>
          <w:b/>
          <w:bCs/>
          <w:i/>
          <w:iCs/>
          <w:sz w:val="22"/>
          <w:szCs w:val="22"/>
        </w:rPr>
        <w:t xml:space="preserve"> et perceptions des violences la nuit</w:t>
      </w:r>
    </w:p>
    <w:p w:rsidR="00466487" w:rsidRDefault="00466487" w:rsidP="00743E3B">
      <w:pPr>
        <w:pStyle w:val="Paragraphedeliste"/>
        <w:numPr>
          <w:ilvl w:val="0"/>
          <w:numId w:val="20"/>
        </w:numPr>
        <w:spacing w:after="12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Comment décrire, </w:t>
      </w:r>
      <w:r w:rsidR="00FC3A28">
        <w:rPr>
          <w:rFonts w:ascii="Cambria" w:hAnsi="Cambria"/>
          <w:color w:val="000000"/>
          <w:sz w:val="22"/>
          <w:szCs w:val="22"/>
        </w:rPr>
        <w:t>dans une perspective féministe</w:t>
      </w:r>
      <w:r>
        <w:rPr>
          <w:rFonts w:ascii="Cambria" w:hAnsi="Cambria"/>
          <w:color w:val="000000"/>
          <w:sz w:val="22"/>
          <w:szCs w:val="22"/>
        </w:rPr>
        <w:t xml:space="preserve">, les interactions nocturnes (par exemple la frontière entre </w:t>
      </w:r>
      <w:r w:rsidRPr="00743E3B">
        <w:rPr>
          <w:rFonts w:ascii="Cambria" w:hAnsi="Cambria"/>
          <w:color w:val="000000"/>
          <w:sz w:val="22"/>
          <w:szCs w:val="22"/>
        </w:rPr>
        <w:t>séduction et harcèlement</w:t>
      </w:r>
      <w:r>
        <w:rPr>
          <w:rFonts w:ascii="Cambria" w:hAnsi="Cambria"/>
          <w:color w:val="000000"/>
          <w:sz w:val="22"/>
          <w:szCs w:val="22"/>
        </w:rPr>
        <w:t>)</w:t>
      </w:r>
      <w:r w:rsidRPr="00743E3B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dans les espaces publics ? Comment sont-elles vécues ?</w:t>
      </w:r>
    </w:p>
    <w:p w:rsidR="00366640" w:rsidRDefault="00743E3B" w:rsidP="003D72B4">
      <w:pPr>
        <w:pStyle w:val="Paragraphedeliste"/>
        <w:numPr>
          <w:ilvl w:val="0"/>
          <w:numId w:val="20"/>
        </w:numPr>
        <w:spacing w:after="12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lastRenderedPageBreak/>
        <w:t>Quelles s</w:t>
      </w:r>
      <w:r w:rsidR="009A6F18" w:rsidRPr="00743E3B">
        <w:rPr>
          <w:rFonts w:ascii="Cambria" w:hAnsi="Cambria"/>
          <w:color w:val="000000"/>
          <w:sz w:val="22"/>
          <w:szCs w:val="22"/>
        </w:rPr>
        <w:t xml:space="preserve">tratégies </w:t>
      </w:r>
      <w:r>
        <w:rPr>
          <w:rFonts w:ascii="Cambria" w:hAnsi="Cambria"/>
          <w:color w:val="000000"/>
          <w:sz w:val="22"/>
          <w:szCs w:val="22"/>
        </w:rPr>
        <w:t xml:space="preserve">individuelles </w:t>
      </w:r>
      <w:r w:rsidR="009A6F18" w:rsidRPr="00743E3B">
        <w:rPr>
          <w:rFonts w:ascii="Cambria" w:hAnsi="Cambria"/>
          <w:color w:val="000000"/>
          <w:sz w:val="22"/>
          <w:szCs w:val="22"/>
        </w:rPr>
        <w:t>(évitement, habillement, etc.)</w:t>
      </w:r>
      <w:r>
        <w:rPr>
          <w:rFonts w:ascii="Cambria" w:hAnsi="Cambria"/>
          <w:color w:val="000000"/>
          <w:sz w:val="22"/>
          <w:szCs w:val="22"/>
        </w:rPr>
        <w:t xml:space="preserve"> ou </w:t>
      </w:r>
      <w:r w:rsidR="00366640">
        <w:rPr>
          <w:rFonts w:ascii="Cambria" w:hAnsi="Cambria"/>
          <w:color w:val="000000"/>
          <w:sz w:val="22"/>
          <w:szCs w:val="22"/>
        </w:rPr>
        <w:t xml:space="preserve">réappropriations </w:t>
      </w:r>
      <w:r>
        <w:rPr>
          <w:rFonts w:ascii="Cambria" w:hAnsi="Cambria"/>
          <w:color w:val="000000"/>
          <w:sz w:val="22"/>
          <w:szCs w:val="22"/>
        </w:rPr>
        <w:t>collectives (marches de nuit, etc.) les femmes mettent-elles en place ?</w:t>
      </w:r>
    </w:p>
    <w:p w:rsidR="00322ACF" w:rsidRDefault="00322ACF" w:rsidP="003D72B4">
      <w:pPr>
        <w:pStyle w:val="Paragraphedeliste"/>
        <w:numPr>
          <w:ilvl w:val="0"/>
          <w:numId w:val="20"/>
        </w:numPr>
        <w:spacing w:after="12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Comment les pouvoirs publics peuvent-ils s’emparer et/ou prennent-ils en charge la question des violences sexistes/sexuelles dans les espaces urbains ?</w:t>
      </w:r>
    </w:p>
    <w:p w:rsidR="009A6F18" w:rsidRPr="00C03EF0" w:rsidRDefault="009A6F18" w:rsidP="009A6F18">
      <w:pPr>
        <w:spacing w:after="120"/>
        <w:jc w:val="both"/>
        <w:rPr>
          <w:rFonts w:ascii="Cambria" w:hAnsi="Cambria"/>
          <w:b/>
          <w:bCs/>
          <w:i/>
          <w:iCs/>
          <w:sz w:val="22"/>
          <w:szCs w:val="22"/>
        </w:rPr>
      </w:pPr>
      <w:r>
        <w:rPr>
          <w:rFonts w:ascii="Cambria" w:hAnsi="Cambria"/>
          <w:b/>
          <w:bCs/>
          <w:i/>
          <w:iCs/>
          <w:sz w:val="22"/>
          <w:szCs w:val="22"/>
        </w:rPr>
        <w:t xml:space="preserve">3. </w:t>
      </w:r>
      <w:r w:rsidR="00F86306">
        <w:rPr>
          <w:rFonts w:ascii="Cambria" w:hAnsi="Cambria"/>
          <w:b/>
          <w:bCs/>
          <w:i/>
          <w:iCs/>
          <w:sz w:val="22"/>
          <w:szCs w:val="22"/>
        </w:rPr>
        <w:t>T</w:t>
      </w:r>
      <w:r>
        <w:rPr>
          <w:rFonts w:ascii="Cambria" w:hAnsi="Cambria"/>
          <w:b/>
          <w:bCs/>
          <w:i/>
          <w:iCs/>
          <w:sz w:val="22"/>
          <w:szCs w:val="22"/>
        </w:rPr>
        <w:t xml:space="preserve">héorie </w:t>
      </w:r>
      <w:r w:rsidR="00F86306">
        <w:rPr>
          <w:rFonts w:ascii="Cambria" w:hAnsi="Cambria"/>
          <w:b/>
          <w:bCs/>
          <w:i/>
          <w:iCs/>
          <w:sz w:val="22"/>
          <w:szCs w:val="22"/>
        </w:rPr>
        <w:t>et</w:t>
      </w:r>
      <w:r>
        <w:rPr>
          <w:rFonts w:ascii="Cambria" w:hAnsi="Cambria"/>
          <w:b/>
          <w:bCs/>
          <w:i/>
          <w:iCs/>
          <w:sz w:val="22"/>
          <w:szCs w:val="22"/>
        </w:rPr>
        <w:t> méthodologie</w:t>
      </w:r>
    </w:p>
    <w:p w:rsidR="00DC5CF9" w:rsidRDefault="00743E3B" w:rsidP="00743E3B">
      <w:pPr>
        <w:pStyle w:val="Paragraphedeliste"/>
        <w:numPr>
          <w:ilvl w:val="0"/>
          <w:numId w:val="20"/>
        </w:numPr>
        <w:spacing w:after="120"/>
        <w:jc w:val="both"/>
        <w:rPr>
          <w:rFonts w:ascii="Cambria" w:hAnsi="Cambria"/>
          <w:color w:val="000000"/>
          <w:sz w:val="22"/>
          <w:szCs w:val="22"/>
        </w:rPr>
      </w:pPr>
      <w:r w:rsidRPr="00DC5CF9">
        <w:rPr>
          <w:rFonts w:ascii="Cambria" w:hAnsi="Cambria"/>
          <w:color w:val="000000"/>
          <w:sz w:val="22"/>
          <w:szCs w:val="22"/>
        </w:rPr>
        <w:t>Quelles ap</w:t>
      </w:r>
      <w:r w:rsidR="009A6F18" w:rsidRPr="00DC5CF9">
        <w:rPr>
          <w:rFonts w:ascii="Cambria" w:hAnsi="Cambria"/>
          <w:color w:val="000000"/>
          <w:sz w:val="22"/>
          <w:szCs w:val="22"/>
        </w:rPr>
        <w:t>proches théoriques </w:t>
      </w:r>
      <w:r w:rsidR="00DC5CF9">
        <w:rPr>
          <w:rFonts w:ascii="Cambria" w:hAnsi="Cambria"/>
          <w:color w:val="000000"/>
          <w:sz w:val="22"/>
          <w:szCs w:val="22"/>
        </w:rPr>
        <w:t xml:space="preserve">et quels outils (cartes mentales, etc.) </w:t>
      </w:r>
      <w:r w:rsidR="00DC5CF9" w:rsidRPr="00DC5CF9">
        <w:rPr>
          <w:rFonts w:ascii="Cambria" w:hAnsi="Cambria"/>
          <w:color w:val="000000"/>
          <w:sz w:val="22"/>
          <w:szCs w:val="22"/>
        </w:rPr>
        <w:t>permettent de saisir la géographie du sexisme, en particulier ses déclinaisons urbaines et nocturnes ?</w:t>
      </w:r>
    </w:p>
    <w:p w:rsidR="00F86306" w:rsidRPr="00743E3B" w:rsidRDefault="00DC5CF9" w:rsidP="00743E3B">
      <w:pPr>
        <w:pStyle w:val="Paragraphedeliste"/>
        <w:numPr>
          <w:ilvl w:val="0"/>
          <w:numId w:val="20"/>
        </w:numPr>
        <w:spacing w:after="12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Comment mener, sur ces thématiques,</w:t>
      </w:r>
      <w:r w:rsidRPr="00DC5CF9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une recherche féministe ?</w:t>
      </w:r>
    </w:p>
    <w:p w:rsidR="00076DA6" w:rsidRDefault="00076DA6" w:rsidP="00CD06E0">
      <w:pPr>
        <w:pStyle w:val="NormalWeb"/>
        <w:spacing w:before="0" w:beforeAutospacing="0" w:after="120" w:afterAutospacing="0"/>
        <w:jc w:val="both"/>
        <w:rPr>
          <w:rFonts w:ascii="Cambria" w:hAnsi="Cambria"/>
          <w:sz w:val="22"/>
          <w:szCs w:val="22"/>
        </w:rPr>
      </w:pPr>
    </w:p>
    <w:p w:rsidR="00076DA6" w:rsidRPr="006F57E4" w:rsidRDefault="00076DA6" w:rsidP="00076DA6">
      <w:pPr>
        <w:pStyle w:val="normal0"/>
        <w:spacing w:after="120" w:line="240" w:lineRule="auto"/>
        <w:jc w:val="both"/>
        <w:rPr>
          <w:rFonts w:ascii="Cambria" w:eastAsia="Cambria" w:hAnsi="Cambria" w:cs="Cambria"/>
          <w:color w:val="auto"/>
        </w:rPr>
      </w:pPr>
      <w:r w:rsidRPr="006F57E4">
        <w:rPr>
          <w:rFonts w:ascii="Cambria" w:eastAsia="Cambria" w:hAnsi="Cambria" w:cs="Cambria"/>
          <w:color w:val="auto"/>
        </w:rPr>
        <w:t xml:space="preserve">Cet appel à communications s’adresse en particulier aux personnes travaillant en </w:t>
      </w:r>
      <w:r w:rsidR="006F57E4" w:rsidRPr="006F57E4">
        <w:rPr>
          <w:rFonts w:ascii="Cambria" w:eastAsia="Cambria" w:hAnsi="Cambria" w:cs="Cambria"/>
          <w:color w:val="auto"/>
        </w:rPr>
        <w:t>géographie</w:t>
      </w:r>
      <w:r w:rsidRPr="006F57E4">
        <w:rPr>
          <w:rFonts w:ascii="Cambria" w:eastAsia="Cambria" w:hAnsi="Cambria" w:cs="Cambria"/>
          <w:color w:val="auto"/>
        </w:rPr>
        <w:t xml:space="preserve">, sociologie, </w:t>
      </w:r>
      <w:r w:rsidR="006F57E4" w:rsidRPr="006F57E4">
        <w:rPr>
          <w:rFonts w:ascii="Cambria" w:eastAsia="Cambria" w:hAnsi="Cambria" w:cs="Cambria"/>
          <w:color w:val="auto"/>
        </w:rPr>
        <w:t>science politique</w:t>
      </w:r>
      <w:r w:rsidRPr="006F57E4">
        <w:rPr>
          <w:rFonts w:ascii="Cambria" w:eastAsia="Cambria" w:hAnsi="Cambria" w:cs="Cambria"/>
          <w:color w:val="auto"/>
        </w:rPr>
        <w:t>, mais il reste ouvert aux autres approches disciplinaires. Il n’est pas restrictif quant aux périodes historiques et aux aires géographiques étudiées.</w:t>
      </w:r>
    </w:p>
    <w:p w:rsidR="00076DA6" w:rsidRPr="006F57E4" w:rsidRDefault="003D72B4" w:rsidP="00076DA6">
      <w:pPr>
        <w:pStyle w:val="normal0"/>
        <w:spacing w:after="120" w:line="240" w:lineRule="auto"/>
        <w:jc w:val="both"/>
        <w:rPr>
          <w:rFonts w:ascii="Cambria" w:hAnsi="Cambria"/>
          <w:color w:val="auto"/>
        </w:rPr>
      </w:pPr>
      <w:r>
        <w:rPr>
          <w:rFonts w:ascii="Cambria" w:hAnsi="Cambria"/>
        </w:rPr>
        <w:t>La journée d’études « Sortir la nuit » a pour but de permettre la restitution (notamment à travers une exposition) d’une recherche réalisée à Lille par l’équipe organisatrice de l’événement et de</w:t>
      </w:r>
      <w:r w:rsidRPr="003D72B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créer des passerelles entre des recherches en cours. </w:t>
      </w:r>
      <w:r>
        <w:rPr>
          <w:rFonts w:ascii="Cambria" w:eastAsia="Cambria" w:hAnsi="Cambria" w:cs="Cambria"/>
          <w:color w:val="auto"/>
        </w:rPr>
        <w:t>L</w:t>
      </w:r>
      <w:r w:rsidR="00076DA6" w:rsidRPr="006F57E4">
        <w:rPr>
          <w:rFonts w:ascii="Cambria" w:eastAsia="Cambria" w:hAnsi="Cambria" w:cs="Cambria"/>
          <w:color w:val="auto"/>
        </w:rPr>
        <w:t xml:space="preserve">es doctorant-e-s et </w:t>
      </w:r>
      <w:r>
        <w:rPr>
          <w:rFonts w:ascii="Cambria" w:eastAsia="Cambria" w:hAnsi="Cambria" w:cs="Cambria"/>
          <w:color w:val="auto"/>
        </w:rPr>
        <w:t>l</w:t>
      </w:r>
      <w:r w:rsidRPr="006F57E4">
        <w:rPr>
          <w:rFonts w:ascii="Cambria" w:eastAsia="Cambria" w:hAnsi="Cambria" w:cs="Cambria"/>
          <w:color w:val="auto"/>
        </w:rPr>
        <w:t xml:space="preserve">es </w:t>
      </w:r>
      <w:r w:rsidR="00076DA6" w:rsidRPr="006F57E4">
        <w:rPr>
          <w:rFonts w:ascii="Cambria" w:eastAsia="Cambria" w:hAnsi="Cambria" w:cs="Cambria"/>
          <w:color w:val="auto"/>
        </w:rPr>
        <w:t>jeunes chercheur-e-s sont fortement encouragées</w:t>
      </w:r>
      <w:r>
        <w:rPr>
          <w:rFonts w:ascii="Cambria" w:eastAsia="Cambria" w:hAnsi="Cambria" w:cs="Cambria"/>
          <w:color w:val="auto"/>
        </w:rPr>
        <w:t xml:space="preserve"> à proposer des communications</w:t>
      </w:r>
      <w:r w:rsidR="00076DA6" w:rsidRPr="006F57E4">
        <w:rPr>
          <w:rFonts w:ascii="Cambria" w:eastAsia="Cambria" w:hAnsi="Cambria" w:cs="Cambria"/>
          <w:color w:val="auto"/>
        </w:rPr>
        <w:t>.</w:t>
      </w:r>
    </w:p>
    <w:p w:rsidR="004A2973" w:rsidRDefault="00076DA6" w:rsidP="00076DA6">
      <w:pPr>
        <w:pStyle w:val="normal0"/>
        <w:jc w:val="both"/>
        <w:rPr>
          <w:rFonts w:ascii="Cambria" w:eastAsia="Cambria" w:hAnsi="Cambria" w:cs="Cambria"/>
          <w:color w:val="auto"/>
        </w:rPr>
      </w:pPr>
      <w:r w:rsidRPr="006F57E4">
        <w:rPr>
          <w:rFonts w:ascii="Cambria" w:eastAsia="Cambria" w:hAnsi="Cambria" w:cs="Cambria"/>
          <w:color w:val="auto"/>
        </w:rPr>
        <w:t xml:space="preserve">Les propositions de communication (3 000 signes, en indiquant </w:t>
      </w:r>
      <w:r w:rsidR="00747238">
        <w:rPr>
          <w:rFonts w:ascii="Cambria" w:eastAsia="Cambria" w:hAnsi="Cambria" w:cs="Cambria"/>
          <w:color w:val="auto"/>
        </w:rPr>
        <w:t>le</w:t>
      </w:r>
      <w:r w:rsidR="00747238" w:rsidRPr="006F57E4">
        <w:rPr>
          <w:rFonts w:ascii="Cambria" w:eastAsia="Cambria" w:hAnsi="Cambria" w:cs="Cambria"/>
          <w:color w:val="auto"/>
        </w:rPr>
        <w:t xml:space="preserve"> </w:t>
      </w:r>
      <w:r w:rsidRPr="006F57E4">
        <w:rPr>
          <w:rFonts w:ascii="Cambria" w:eastAsia="Cambria" w:hAnsi="Cambria" w:cs="Cambria"/>
          <w:color w:val="auto"/>
        </w:rPr>
        <w:t>statut</w:t>
      </w:r>
      <w:r w:rsidR="00747238">
        <w:rPr>
          <w:rFonts w:ascii="Cambria" w:eastAsia="Cambria" w:hAnsi="Cambria" w:cs="Cambria"/>
          <w:color w:val="auto"/>
        </w:rPr>
        <w:t>,</w:t>
      </w:r>
      <w:r w:rsidRPr="006F57E4">
        <w:rPr>
          <w:rFonts w:ascii="Cambria" w:eastAsia="Cambria" w:hAnsi="Cambria" w:cs="Cambria"/>
          <w:color w:val="auto"/>
        </w:rPr>
        <w:t xml:space="preserve"> </w:t>
      </w:r>
      <w:r w:rsidR="00747238">
        <w:rPr>
          <w:rFonts w:ascii="Cambria" w:eastAsia="Cambria" w:hAnsi="Cambria" w:cs="Cambria"/>
          <w:color w:val="auto"/>
        </w:rPr>
        <w:t>l’</w:t>
      </w:r>
      <w:r w:rsidRPr="006F57E4">
        <w:rPr>
          <w:rFonts w:ascii="Cambria" w:eastAsia="Cambria" w:hAnsi="Cambria" w:cs="Cambria"/>
          <w:color w:val="auto"/>
        </w:rPr>
        <w:t>institution de rattachement</w:t>
      </w:r>
      <w:r w:rsidR="00747238">
        <w:rPr>
          <w:rFonts w:ascii="Cambria" w:eastAsia="Cambria" w:hAnsi="Cambria" w:cs="Cambria"/>
          <w:color w:val="auto"/>
        </w:rPr>
        <w:t xml:space="preserve"> et l’adresse mail</w:t>
      </w:r>
      <w:r w:rsidRPr="006F57E4">
        <w:rPr>
          <w:rFonts w:ascii="Cambria" w:eastAsia="Cambria" w:hAnsi="Cambria" w:cs="Cambria"/>
          <w:color w:val="auto"/>
        </w:rPr>
        <w:t xml:space="preserve">) doivent être adressées par email avant le </w:t>
      </w:r>
      <w:r w:rsidR="001D44AD" w:rsidRPr="006F57E4">
        <w:rPr>
          <w:rFonts w:ascii="Cambria" w:eastAsia="Cambria" w:hAnsi="Cambria" w:cs="Cambria"/>
          <w:color w:val="auto"/>
        </w:rPr>
        <w:t xml:space="preserve">10 </w:t>
      </w:r>
      <w:r w:rsidR="004607B8">
        <w:rPr>
          <w:rFonts w:ascii="Cambria" w:eastAsia="Cambria" w:hAnsi="Cambria" w:cs="Cambria"/>
          <w:color w:val="auto"/>
        </w:rPr>
        <w:t>septembre</w:t>
      </w:r>
      <w:r w:rsidR="007E4E86" w:rsidRPr="006F57E4">
        <w:rPr>
          <w:rFonts w:ascii="Cambria" w:eastAsia="Cambria" w:hAnsi="Cambria" w:cs="Cambria"/>
          <w:color w:val="auto"/>
        </w:rPr>
        <w:t xml:space="preserve"> </w:t>
      </w:r>
      <w:r w:rsidRPr="006F57E4">
        <w:rPr>
          <w:rFonts w:ascii="Cambria" w:eastAsia="Cambria" w:hAnsi="Cambria" w:cs="Cambria"/>
          <w:color w:val="auto"/>
        </w:rPr>
        <w:t>201</w:t>
      </w:r>
      <w:r w:rsidR="007E4E86">
        <w:rPr>
          <w:rFonts w:ascii="Cambria" w:eastAsia="Cambria" w:hAnsi="Cambria" w:cs="Cambria"/>
          <w:color w:val="auto"/>
        </w:rPr>
        <w:t>3</w:t>
      </w:r>
      <w:r w:rsidRPr="006F57E4">
        <w:rPr>
          <w:rFonts w:ascii="Cambria" w:eastAsia="Cambria" w:hAnsi="Cambria" w:cs="Cambria"/>
          <w:color w:val="auto"/>
        </w:rPr>
        <w:t xml:space="preserve"> </w:t>
      </w:r>
      <w:r w:rsidR="001D44AD" w:rsidRPr="006F57E4">
        <w:rPr>
          <w:rFonts w:ascii="Cambria" w:eastAsia="Cambria" w:hAnsi="Cambria" w:cs="Cambria"/>
          <w:color w:val="auto"/>
        </w:rPr>
        <w:t xml:space="preserve">à : </w:t>
      </w:r>
      <w:r w:rsidR="00A45C54" w:rsidRPr="00A45C54">
        <w:rPr>
          <w:rFonts w:ascii="Cambria" w:hAnsi="Cambria"/>
        </w:rPr>
        <w:t>equipe.envs.lille@gmail.com</w:t>
      </w:r>
      <w:r w:rsidR="009A6F18" w:rsidRPr="00A45C54">
        <w:rPr>
          <w:rFonts w:ascii="Cambria" w:eastAsia="Cambria" w:hAnsi="Cambria" w:cs="Cambria"/>
          <w:color w:val="auto"/>
        </w:rPr>
        <w:t>.</w:t>
      </w:r>
    </w:p>
    <w:p w:rsidR="007E4E86" w:rsidRPr="006F57E4" w:rsidRDefault="007E4E86" w:rsidP="00076DA6">
      <w:pPr>
        <w:pStyle w:val="normal0"/>
        <w:jc w:val="both"/>
        <w:rPr>
          <w:rFonts w:ascii="Cambria" w:eastAsia="Cambria" w:hAnsi="Cambria" w:cs="Cambria"/>
          <w:color w:val="auto"/>
        </w:rPr>
      </w:pPr>
    </w:p>
    <w:tbl>
      <w:tblPr>
        <w:tblW w:w="0" w:type="auto"/>
        <w:tblLook w:val="04A0"/>
      </w:tblPr>
      <w:tblGrid>
        <w:gridCol w:w="4786"/>
        <w:gridCol w:w="4426"/>
      </w:tblGrid>
      <w:tr w:rsidR="006F57E4" w:rsidTr="003D72B4">
        <w:trPr>
          <w:trHeight w:val="968"/>
        </w:trPr>
        <w:tc>
          <w:tcPr>
            <w:tcW w:w="4786" w:type="dxa"/>
          </w:tcPr>
          <w:p w:rsidR="006F57E4" w:rsidRPr="003D72B4" w:rsidRDefault="00237903" w:rsidP="003D72B4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168910</wp:posOffset>
                  </wp:positionV>
                  <wp:extent cx="2945130" cy="1190625"/>
                  <wp:effectExtent l="19050" t="0" r="7620" b="0"/>
                  <wp:wrapNone/>
                  <wp:docPr id="3" name="Image 1" descr="C:\Users\ipastor\Documents\éléments pratiques\logo IDG définitif\logo-institut-gen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ipastor\Documents\éléments pratiques\logo IDG définitif\logo-institut-gen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13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6" w:type="dxa"/>
          </w:tcPr>
          <w:p w:rsidR="006F57E4" w:rsidRPr="003D72B4" w:rsidRDefault="006F57E4" w:rsidP="003D72B4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3D72B4">
              <w:rPr>
                <w:rFonts w:ascii="Cambria" w:hAnsi="Cambria"/>
                <w:b/>
                <w:sz w:val="24"/>
                <w:szCs w:val="24"/>
              </w:rPr>
              <w:t>Comité d’organisation :</w:t>
            </w:r>
            <w:r w:rsidRPr="003D72B4">
              <w:rPr>
                <w:rFonts w:ascii="Cambria" w:hAnsi="Cambria"/>
                <w:sz w:val="24"/>
                <w:szCs w:val="24"/>
              </w:rPr>
              <w:t xml:space="preserve"> Camille Guenebeaud, Aurore Le Mat, Gwenola Ricordeau et Sidonie Verhaeghe.</w:t>
            </w:r>
          </w:p>
        </w:tc>
      </w:tr>
      <w:tr w:rsidR="006F57E4" w:rsidTr="003D72B4">
        <w:tc>
          <w:tcPr>
            <w:tcW w:w="4786" w:type="dxa"/>
          </w:tcPr>
          <w:p w:rsidR="006F57E4" w:rsidRPr="003D72B4" w:rsidRDefault="006F57E4" w:rsidP="003D72B4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426" w:type="dxa"/>
          </w:tcPr>
          <w:p w:rsidR="006F57E4" w:rsidRPr="003D72B4" w:rsidRDefault="006F57E4" w:rsidP="003D72B4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3D72B4">
              <w:rPr>
                <w:rFonts w:ascii="Cambria" w:hAnsi="Cambria"/>
                <w:b/>
                <w:sz w:val="22"/>
                <w:szCs w:val="22"/>
              </w:rPr>
              <w:t>La Journée d’études est organisée dans le cadre du programme « ‘La rue, la nuit, femmes sans peur’ ? Enquête à Lille sur la nuit, les espaces urbains et les violences sexistes », financé par le GIS Genre.</w:t>
            </w:r>
          </w:p>
        </w:tc>
      </w:tr>
    </w:tbl>
    <w:p w:rsidR="006F57E4" w:rsidRDefault="006F57E4">
      <w:pPr>
        <w:jc w:val="both"/>
        <w:rPr>
          <w:rFonts w:ascii="Cambria" w:hAnsi="Cambria"/>
          <w:b/>
          <w:sz w:val="22"/>
          <w:szCs w:val="22"/>
        </w:rPr>
      </w:pPr>
    </w:p>
    <w:p w:rsidR="00753EF2" w:rsidRDefault="00753EF2">
      <w:pPr>
        <w:jc w:val="both"/>
        <w:rPr>
          <w:rFonts w:ascii="Cambria" w:hAnsi="Cambria"/>
          <w:b/>
          <w:sz w:val="22"/>
          <w:szCs w:val="22"/>
        </w:rPr>
      </w:pPr>
    </w:p>
    <w:p w:rsidR="00753EF2" w:rsidRPr="006F57E4" w:rsidRDefault="00237903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</w:rPr>
        <w:drawing>
          <wp:inline distT="0" distB="0" distL="0" distR="0">
            <wp:extent cx="1771650" cy="10191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FA0">
        <w:rPr>
          <w:rFonts w:ascii="Cambria" w:hAnsi="Cambria"/>
          <w:b/>
          <w:sz w:val="22"/>
          <w:szCs w:val="22"/>
        </w:rPr>
        <w:t xml:space="preserve"> </w:t>
      </w:r>
      <w:r w:rsidR="00C14BE1">
        <w:rPr>
          <w:rFonts w:ascii="Cambria" w:hAnsi="Cambria"/>
          <w:b/>
          <w:sz w:val="22"/>
          <w:szCs w:val="22"/>
        </w:rPr>
        <w:t xml:space="preserve">            </w:t>
      </w:r>
      <w:r w:rsidR="00244FA0">
        <w:rPr>
          <w:rFonts w:ascii="Cambria" w:hAnsi="Cambria"/>
          <w:b/>
          <w:sz w:val="22"/>
          <w:szCs w:val="22"/>
        </w:rPr>
        <w:t xml:space="preserve">  </w:t>
      </w:r>
      <w:r>
        <w:rPr>
          <w:rFonts w:ascii="Cambria" w:hAnsi="Cambria"/>
          <w:b/>
          <w:noProof/>
          <w:sz w:val="22"/>
          <w:szCs w:val="22"/>
        </w:rPr>
        <w:drawing>
          <wp:inline distT="0" distB="0" distL="0" distR="0">
            <wp:extent cx="2057400" cy="100012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3EF2" w:rsidRPr="006F57E4" w:rsidSect="00ED597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AD5" w:rsidRDefault="004D1AD5" w:rsidP="00ED5978">
      <w:r>
        <w:separator/>
      </w:r>
    </w:p>
  </w:endnote>
  <w:endnote w:type="continuationSeparator" w:id="1">
    <w:p w:rsidR="004D1AD5" w:rsidRDefault="004D1AD5" w:rsidP="00ED5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CA" w:rsidRDefault="00C62F3B">
    <w:pPr>
      <w:pStyle w:val="Pieddepage"/>
      <w:jc w:val="center"/>
    </w:pPr>
    <w:r>
      <w:fldChar w:fldCharType="begin"/>
    </w:r>
    <w:r w:rsidR="00B91DCA">
      <w:instrText xml:space="preserve"> </w:instrText>
    </w:r>
    <w:r w:rsidR="00520253">
      <w:instrText>PAGE</w:instrText>
    </w:r>
    <w:r w:rsidR="00B91DCA">
      <w:instrText xml:space="preserve">   \* MERGEFORMAT </w:instrText>
    </w:r>
    <w:r>
      <w:fldChar w:fldCharType="separate"/>
    </w:r>
    <w:r w:rsidR="00237903">
      <w:rPr>
        <w:noProof/>
      </w:rPr>
      <w:t>2</w:t>
    </w:r>
    <w:r>
      <w:fldChar w:fldCharType="end"/>
    </w:r>
  </w:p>
  <w:p w:rsidR="00B91DCA" w:rsidRDefault="00B91DC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AD5" w:rsidRDefault="004D1AD5" w:rsidP="00ED5978">
      <w:r>
        <w:separator/>
      </w:r>
    </w:p>
  </w:footnote>
  <w:footnote w:type="continuationSeparator" w:id="1">
    <w:p w:rsidR="004D1AD5" w:rsidRDefault="004D1AD5" w:rsidP="00ED5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4088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466C9B"/>
    <w:multiLevelType w:val="hybridMultilevel"/>
    <w:tmpl w:val="80C0BBCC"/>
    <w:lvl w:ilvl="0" w:tplc="9BE8BBF0">
      <w:start w:val="59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F5B34"/>
    <w:multiLevelType w:val="multilevel"/>
    <w:tmpl w:val="6CB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772C7"/>
    <w:multiLevelType w:val="multilevel"/>
    <w:tmpl w:val="F10A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BF01BA"/>
    <w:multiLevelType w:val="hybridMultilevel"/>
    <w:tmpl w:val="C2327A0E"/>
    <w:lvl w:ilvl="0" w:tplc="911A06E6">
      <w:start w:val="1"/>
      <w:numFmt w:val="decimal"/>
      <w:lvlText w:val="[%1]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6FDB"/>
    <w:multiLevelType w:val="multilevel"/>
    <w:tmpl w:val="EEB2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35ABD"/>
    <w:multiLevelType w:val="multilevel"/>
    <w:tmpl w:val="AC02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810E4D"/>
    <w:multiLevelType w:val="multilevel"/>
    <w:tmpl w:val="C0FE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55AE3"/>
    <w:multiLevelType w:val="hybridMultilevel"/>
    <w:tmpl w:val="C346E6D2"/>
    <w:lvl w:ilvl="0" w:tplc="57AE40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D38C0"/>
    <w:multiLevelType w:val="hybridMultilevel"/>
    <w:tmpl w:val="C8B2C86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9566FFC"/>
    <w:multiLevelType w:val="multilevel"/>
    <w:tmpl w:val="DC5E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776665"/>
    <w:multiLevelType w:val="hybridMultilevel"/>
    <w:tmpl w:val="9880EEC8"/>
    <w:lvl w:ilvl="0" w:tplc="E0384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2376B"/>
    <w:multiLevelType w:val="multilevel"/>
    <w:tmpl w:val="7DAC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A86B64"/>
    <w:multiLevelType w:val="multilevel"/>
    <w:tmpl w:val="AC02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34056"/>
    <w:multiLevelType w:val="hybridMultilevel"/>
    <w:tmpl w:val="B79ED0E6"/>
    <w:lvl w:ilvl="0" w:tplc="911A06E6">
      <w:start w:val="1"/>
      <w:numFmt w:val="decimal"/>
      <w:lvlText w:val="[%1]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23852"/>
    <w:multiLevelType w:val="hybridMultilevel"/>
    <w:tmpl w:val="B6429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12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18"/>
  </w:num>
  <w:num w:numId="11">
    <w:abstractNumId w:val="8"/>
  </w:num>
  <w:num w:numId="12">
    <w:abstractNumId w:val="13"/>
  </w:num>
  <w:num w:numId="13">
    <w:abstractNumId w:val="16"/>
  </w:num>
  <w:num w:numId="14">
    <w:abstractNumId w:val="9"/>
  </w:num>
  <w:num w:numId="15">
    <w:abstractNumId w:val="14"/>
  </w:num>
  <w:num w:numId="16">
    <w:abstractNumId w:val="10"/>
  </w:num>
  <w:num w:numId="17">
    <w:abstractNumId w:val="6"/>
  </w:num>
  <w:num w:numId="18">
    <w:abstractNumId w:val="11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43576"/>
    <w:rsid w:val="0000274D"/>
    <w:rsid w:val="0000798B"/>
    <w:rsid w:val="00024288"/>
    <w:rsid w:val="000334CD"/>
    <w:rsid w:val="00034AB1"/>
    <w:rsid w:val="00043576"/>
    <w:rsid w:val="00047349"/>
    <w:rsid w:val="00067912"/>
    <w:rsid w:val="00076DA6"/>
    <w:rsid w:val="00086ED6"/>
    <w:rsid w:val="00090B07"/>
    <w:rsid w:val="000B799B"/>
    <w:rsid w:val="000C0F67"/>
    <w:rsid w:val="000C43B3"/>
    <w:rsid w:val="000C6004"/>
    <w:rsid w:val="000E7073"/>
    <w:rsid w:val="000F0F1F"/>
    <w:rsid w:val="001374B4"/>
    <w:rsid w:val="0014342A"/>
    <w:rsid w:val="001530A7"/>
    <w:rsid w:val="001A4826"/>
    <w:rsid w:val="001B34B4"/>
    <w:rsid w:val="001D44AD"/>
    <w:rsid w:val="001F473D"/>
    <w:rsid w:val="00232188"/>
    <w:rsid w:val="00237903"/>
    <w:rsid w:val="00244FA0"/>
    <w:rsid w:val="00245250"/>
    <w:rsid w:val="00247B5B"/>
    <w:rsid w:val="0027487C"/>
    <w:rsid w:val="002B3E65"/>
    <w:rsid w:val="002D126E"/>
    <w:rsid w:val="002D1C89"/>
    <w:rsid w:val="002D76F2"/>
    <w:rsid w:val="00302672"/>
    <w:rsid w:val="0030748C"/>
    <w:rsid w:val="003165B1"/>
    <w:rsid w:val="00322ACF"/>
    <w:rsid w:val="00325236"/>
    <w:rsid w:val="003328D5"/>
    <w:rsid w:val="0033352A"/>
    <w:rsid w:val="00337884"/>
    <w:rsid w:val="00354651"/>
    <w:rsid w:val="00355287"/>
    <w:rsid w:val="00356C74"/>
    <w:rsid w:val="00366516"/>
    <w:rsid w:val="00366640"/>
    <w:rsid w:val="00376F57"/>
    <w:rsid w:val="003A7E0C"/>
    <w:rsid w:val="003B3372"/>
    <w:rsid w:val="003D5096"/>
    <w:rsid w:val="003D611E"/>
    <w:rsid w:val="003D72B4"/>
    <w:rsid w:val="003F26AD"/>
    <w:rsid w:val="00405BC7"/>
    <w:rsid w:val="00407650"/>
    <w:rsid w:val="004149C8"/>
    <w:rsid w:val="00432A27"/>
    <w:rsid w:val="00451C31"/>
    <w:rsid w:val="004607B8"/>
    <w:rsid w:val="00462000"/>
    <w:rsid w:val="00466487"/>
    <w:rsid w:val="004731BE"/>
    <w:rsid w:val="00480837"/>
    <w:rsid w:val="0048194A"/>
    <w:rsid w:val="00496173"/>
    <w:rsid w:val="004A2973"/>
    <w:rsid w:val="004D1AD5"/>
    <w:rsid w:val="004F663F"/>
    <w:rsid w:val="00512F00"/>
    <w:rsid w:val="00520253"/>
    <w:rsid w:val="0052661E"/>
    <w:rsid w:val="00527A0F"/>
    <w:rsid w:val="00551C3D"/>
    <w:rsid w:val="00562B07"/>
    <w:rsid w:val="00573D43"/>
    <w:rsid w:val="00576173"/>
    <w:rsid w:val="005A6DAE"/>
    <w:rsid w:val="00637B79"/>
    <w:rsid w:val="00671662"/>
    <w:rsid w:val="00691380"/>
    <w:rsid w:val="006B295A"/>
    <w:rsid w:val="006B296D"/>
    <w:rsid w:val="006C0DEF"/>
    <w:rsid w:val="006C3F32"/>
    <w:rsid w:val="006D46D2"/>
    <w:rsid w:val="006F57E4"/>
    <w:rsid w:val="00743E3B"/>
    <w:rsid w:val="00747238"/>
    <w:rsid w:val="00753EF2"/>
    <w:rsid w:val="007C42B7"/>
    <w:rsid w:val="007E4CE5"/>
    <w:rsid w:val="007E4E86"/>
    <w:rsid w:val="007F2E47"/>
    <w:rsid w:val="007F616F"/>
    <w:rsid w:val="008010F6"/>
    <w:rsid w:val="00811522"/>
    <w:rsid w:val="00812BAD"/>
    <w:rsid w:val="00824669"/>
    <w:rsid w:val="00835F1C"/>
    <w:rsid w:val="00847DE3"/>
    <w:rsid w:val="00856F8F"/>
    <w:rsid w:val="00861D5B"/>
    <w:rsid w:val="00862CD5"/>
    <w:rsid w:val="00884681"/>
    <w:rsid w:val="008A1766"/>
    <w:rsid w:val="008A5F15"/>
    <w:rsid w:val="008C371E"/>
    <w:rsid w:val="008C6C62"/>
    <w:rsid w:val="008C7094"/>
    <w:rsid w:val="008C7130"/>
    <w:rsid w:val="008D4B05"/>
    <w:rsid w:val="009120EA"/>
    <w:rsid w:val="00913331"/>
    <w:rsid w:val="00915B9D"/>
    <w:rsid w:val="00916CD7"/>
    <w:rsid w:val="00924A20"/>
    <w:rsid w:val="00931828"/>
    <w:rsid w:val="0093533E"/>
    <w:rsid w:val="0097693C"/>
    <w:rsid w:val="009969C7"/>
    <w:rsid w:val="00996B93"/>
    <w:rsid w:val="009A6F18"/>
    <w:rsid w:val="009B077A"/>
    <w:rsid w:val="009B5D28"/>
    <w:rsid w:val="009C09FD"/>
    <w:rsid w:val="009F0961"/>
    <w:rsid w:val="009F1E9B"/>
    <w:rsid w:val="009F5D29"/>
    <w:rsid w:val="00A45C54"/>
    <w:rsid w:val="00A619B8"/>
    <w:rsid w:val="00A669FD"/>
    <w:rsid w:val="00A72A85"/>
    <w:rsid w:val="00AB2155"/>
    <w:rsid w:val="00AC0781"/>
    <w:rsid w:val="00AD3E54"/>
    <w:rsid w:val="00B031B3"/>
    <w:rsid w:val="00B12583"/>
    <w:rsid w:val="00B2291F"/>
    <w:rsid w:val="00B60CC9"/>
    <w:rsid w:val="00B63917"/>
    <w:rsid w:val="00B72BCA"/>
    <w:rsid w:val="00B91DCA"/>
    <w:rsid w:val="00B978C9"/>
    <w:rsid w:val="00BC0CF0"/>
    <w:rsid w:val="00BC0FFA"/>
    <w:rsid w:val="00BD34E2"/>
    <w:rsid w:val="00C00817"/>
    <w:rsid w:val="00C03EF0"/>
    <w:rsid w:val="00C14BE1"/>
    <w:rsid w:val="00C21411"/>
    <w:rsid w:val="00C3617B"/>
    <w:rsid w:val="00C62F3B"/>
    <w:rsid w:val="00C64337"/>
    <w:rsid w:val="00C66E44"/>
    <w:rsid w:val="00C874C5"/>
    <w:rsid w:val="00CA0BD6"/>
    <w:rsid w:val="00CA18F8"/>
    <w:rsid w:val="00CB6B45"/>
    <w:rsid w:val="00CD06E0"/>
    <w:rsid w:val="00CF5DA5"/>
    <w:rsid w:val="00D01CE9"/>
    <w:rsid w:val="00D04BA9"/>
    <w:rsid w:val="00D1298E"/>
    <w:rsid w:val="00D179BA"/>
    <w:rsid w:val="00D33061"/>
    <w:rsid w:val="00D52B76"/>
    <w:rsid w:val="00D70D21"/>
    <w:rsid w:val="00D731C4"/>
    <w:rsid w:val="00D802FF"/>
    <w:rsid w:val="00DC1972"/>
    <w:rsid w:val="00DC5CF9"/>
    <w:rsid w:val="00DF2419"/>
    <w:rsid w:val="00E21530"/>
    <w:rsid w:val="00E2266E"/>
    <w:rsid w:val="00E420F7"/>
    <w:rsid w:val="00ED5978"/>
    <w:rsid w:val="00ED6899"/>
    <w:rsid w:val="00F40E28"/>
    <w:rsid w:val="00F77561"/>
    <w:rsid w:val="00F844DD"/>
    <w:rsid w:val="00F86306"/>
    <w:rsid w:val="00FA0DCD"/>
    <w:rsid w:val="00FA6CF9"/>
    <w:rsid w:val="00FB2CC4"/>
    <w:rsid w:val="00FC3A28"/>
    <w:rsid w:val="00FD0975"/>
    <w:rsid w:val="00FD7E27"/>
    <w:rsid w:val="00FE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576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043576"/>
    <w:pPr>
      <w:keepNext/>
      <w:jc w:val="center"/>
      <w:outlineLvl w:val="0"/>
    </w:pPr>
    <w:rPr>
      <w:b/>
      <w:bCs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4357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0406C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semiHidden/>
    <w:rsid w:val="0070406C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70406C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rsid w:val="0070406C"/>
    <w:rPr>
      <w:rFonts w:ascii="Times New Roman" w:eastAsia="Times New Roman" w:hAnsi="Times New Roman"/>
    </w:rPr>
  </w:style>
  <w:style w:type="paragraph" w:customStyle="1" w:styleId="Listecouleur-Accent11">
    <w:name w:val="Liste couleur - Accent 11"/>
    <w:basedOn w:val="Normal"/>
    <w:uiPriority w:val="34"/>
    <w:qFormat/>
    <w:rsid w:val="009733E3"/>
    <w:pPr>
      <w:ind w:left="708"/>
    </w:pPr>
  </w:style>
  <w:style w:type="character" w:styleId="Marquedecommentaire">
    <w:name w:val="annotation reference"/>
    <w:uiPriority w:val="99"/>
    <w:semiHidden/>
    <w:unhideWhenUsed/>
    <w:rsid w:val="009B07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077A"/>
    <w:rPr>
      <w:lang/>
    </w:rPr>
  </w:style>
  <w:style w:type="character" w:customStyle="1" w:styleId="CommentaireCar">
    <w:name w:val="Commentaire Car"/>
    <w:link w:val="Commentaire"/>
    <w:uiPriority w:val="99"/>
    <w:semiHidden/>
    <w:rsid w:val="009B077A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077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B077A"/>
    <w:rPr>
      <w:rFonts w:ascii="Times New Roman" w:eastAsia="Times New Roman" w:hAnsi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077A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9B077A"/>
    <w:rPr>
      <w:rFonts w:ascii="Tahoma" w:eastAsia="Times New Roman" w:hAnsi="Tahoma" w:cs="Tahoma"/>
      <w:sz w:val="16"/>
      <w:szCs w:val="16"/>
    </w:rPr>
  </w:style>
  <w:style w:type="paragraph" w:customStyle="1" w:styleId="Listecouleur-Accent12">
    <w:name w:val="Liste couleur - Accent 12"/>
    <w:basedOn w:val="Normal"/>
    <w:uiPriority w:val="34"/>
    <w:qFormat/>
    <w:rsid w:val="00576173"/>
    <w:pPr>
      <w:ind w:left="708"/>
    </w:pPr>
  </w:style>
  <w:style w:type="character" w:styleId="Lienhypertexte">
    <w:name w:val="Hyperlink"/>
    <w:uiPriority w:val="99"/>
    <w:unhideWhenUsed/>
    <w:rsid w:val="00924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7B7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F61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detableau">
    <w:name w:val="Contenu de tableau"/>
    <w:basedOn w:val="Normal"/>
    <w:rsid w:val="003D611E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Caractresdenotedebasdepage">
    <w:name w:val="Caractères de note de bas de page"/>
    <w:rsid w:val="003D611E"/>
  </w:style>
  <w:style w:type="character" w:styleId="Appelnotedebasdep">
    <w:name w:val="footnote reference"/>
    <w:rsid w:val="003D611E"/>
    <w:rPr>
      <w:vertAlign w:val="superscript"/>
    </w:rPr>
  </w:style>
  <w:style w:type="character" w:styleId="lev">
    <w:name w:val="Strong"/>
    <w:qFormat/>
    <w:rsid w:val="003D611E"/>
    <w:rPr>
      <w:b/>
      <w:bCs/>
    </w:rPr>
  </w:style>
  <w:style w:type="character" w:styleId="Accentuation">
    <w:name w:val="Emphasis"/>
    <w:uiPriority w:val="20"/>
    <w:qFormat/>
    <w:rsid w:val="003D611E"/>
    <w:rPr>
      <w:i/>
      <w:iCs/>
    </w:rPr>
  </w:style>
  <w:style w:type="paragraph" w:styleId="Notedebasdepage">
    <w:name w:val="footnote text"/>
    <w:basedOn w:val="Normal"/>
    <w:link w:val="NotedebasdepageCar"/>
    <w:rsid w:val="003D611E"/>
    <w:pPr>
      <w:widowControl w:val="0"/>
      <w:suppressLineNumbers/>
      <w:suppressAutoHyphens/>
      <w:ind w:left="283" w:hanging="283"/>
    </w:pPr>
    <w:rPr>
      <w:rFonts w:eastAsia="SimSun" w:cs="Mangal"/>
      <w:kern w:val="1"/>
      <w:lang w:eastAsia="hi-IN" w:bidi="hi-IN"/>
    </w:rPr>
  </w:style>
  <w:style w:type="character" w:customStyle="1" w:styleId="NotedebasdepageCar">
    <w:name w:val="Note de bas de page Car"/>
    <w:basedOn w:val="Policepardfaut"/>
    <w:link w:val="Notedebasdepage"/>
    <w:rsid w:val="003D611E"/>
    <w:rPr>
      <w:rFonts w:ascii="Times New Roman" w:eastAsia="SimSun" w:hAnsi="Times New Roman" w:cs="Mangal"/>
      <w:kern w:val="1"/>
      <w:lang w:eastAsia="hi-IN" w:bidi="hi-IN"/>
    </w:rPr>
  </w:style>
  <w:style w:type="paragraph" w:customStyle="1" w:styleId="Notedebasdepage1">
    <w:name w:val="Note de bas de page1"/>
    <w:basedOn w:val="Normal"/>
    <w:rsid w:val="003D611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D34E2"/>
  </w:style>
  <w:style w:type="character" w:customStyle="1" w:styleId="NotedefinCar">
    <w:name w:val="Note de fin Car"/>
    <w:basedOn w:val="Policepardfaut"/>
    <w:link w:val="Notedefin"/>
    <w:uiPriority w:val="99"/>
    <w:semiHidden/>
    <w:rsid w:val="00BD34E2"/>
    <w:rPr>
      <w:rFonts w:ascii="Times New Roman" w:eastAsia="Times New Roman" w:hAnsi="Times New Roman"/>
    </w:rPr>
  </w:style>
  <w:style w:type="character" w:styleId="Appeldenotedefin">
    <w:name w:val="endnote reference"/>
    <w:basedOn w:val="Policepardfaut"/>
    <w:uiPriority w:val="99"/>
    <w:semiHidden/>
    <w:unhideWhenUsed/>
    <w:rsid w:val="00BD34E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C0FFA"/>
    <w:pPr>
      <w:ind w:left="720"/>
      <w:contextualSpacing/>
    </w:pPr>
  </w:style>
  <w:style w:type="character" w:customStyle="1" w:styleId="st">
    <w:name w:val="st"/>
    <w:basedOn w:val="Policepardfaut"/>
    <w:rsid w:val="00913331"/>
  </w:style>
  <w:style w:type="character" w:styleId="Lienhypertextesuivivisit">
    <w:name w:val="FollowedHyperlink"/>
    <w:basedOn w:val="Policepardfaut"/>
    <w:uiPriority w:val="99"/>
    <w:semiHidden/>
    <w:unhideWhenUsed/>
    <w:rsid w:val="00D33061"/>
    <w:rPr>
      <w:color w:val="800080"/>
      <w:u w:val="single"/>
    </w:rPr>
  </w:style>
  <w:style w:type="paragraph" w:customStyle="1" w:styleId="normal0">
    <w:name w:val="normal"/>
    <w:rsid w:val="00076DA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Grilledutableau">
    <w:name w:val="Table Grid"/>
    <w:basedOn w:val="TableauNormal"/>
    <w:uiPriority w:val="59"/>
    <w:rsid w:val="006F57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D33A-1AB7-43AD-BE58-243A9086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GIS Institut du Genre – Appel à Projets « Territoires »</vt:lpstr>
    </vt:vector>
  </TitlesOfParts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 Institut du Genre – Appel à Projets « Territoires »</dc:title>
  <dc:creator>équipe RNVS</dc:creator>
  <cp:lastModifiedBy>bibi</cp:lastModifiedBy>
  <cp:revision>2</cp:revision>
  <cp:lastPrinted>2013-02-01T21:02:00Z</cp:lastPrinted>
  <dcterms:created xsi:type="dcterms:W3CDTF">2013-06-28T10:10:00Z</dcterms:created>
  <dcterms:modified xsi:type="dcterms:W3CDTF">2013-06-28T10:10:00Z</dcterms:modified>
</cp:coreProperties>
</file>