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E7DC9" w14:textId="77777777" w:rsidR="007D497D" w:rsidRPr="006B603F" w:rsidRDefault="007D497D" w:rsidP="007D497D">
      <w:pPr>
        <w:spacing w:line="240" w:lineRule="auto"/>
        <w:jc w:val="center"/>
        <w:rPr>
          <w:rFonts w:ascii="Times New Roman" w:hAnsi="Times New Roman"/>
          <w:b/>
          <w:sz w:val="24"/>
          <w:szCs w:val="24"/>
        </w:rPr>
      </w:pPr>
      <w:r w:rsidRPr="006B603F">
        <w:rPr>
          <w:rFonts w:ascii="Times New Roman" w:hAnsi="Times New Roman"/>
          <w:b/>
          <w:sz w:val="24"/>
          <w:szCs w:val="24"/>
        </w:rPr>
        <w:t>XVI</w:t>
      </w:r>
      <w:r w:rsidRPr="006B603F">
        <w:rPr>
          <w:rFonts w:ascii="Times New Roman" w:hAnsi="Times New Roman"/>
          <w:b/>
          <w:sz w:val="24"/>
          <w:szCs w:val="24"/>
          <w:vertAlign w:val="superscript"/>
        </w:rPr>
        <w:t>e</w:t>
      </w:r>
      <w:r w:rsidRPr="006B603F">
        <w:rPr>
          <w:rFonts w:ascii="Times New Roman" w:hAnsi="Times New Roman"/>
          <w:b/>
          <w:sz w:val="24"/>
          <w:szCs w:val="24"/>
        </w:rPr>
        <w:t xml:space="preserve"> colloque du réseau Méga-Tchad</w:t>
      </w:r>
    </w:p>
    <w:p w14:paraId="004C82C2" w14:textId="6814CAFC" w:rsidR="007D497D" w:rsidRPr="006B603F" w:rsidRDefault="007D497D" w:rsidP="007D497D">
      <w:pPr>
        <w:jc w:val="center"/>
        <w:rPr>
          <w:rFonts w:ascii="Times New Roman" w:hAnsi="Times New Roman" w:cs="Times New Roman"/>
          <w:sz w:val="24"/>
          <w:szCs w:val="24"/>
          <w:lang w:val="fr-FR"/>
        </w:rPr>
      </w:pPr>
      <w:r w:rsidRPr="006B603F">
        <w:rPr>
          <w:rFonts w:ascii="Times New Roman" w:hAnsi="Times New Roman" w:cs="Times New Roman"/>
          <w:sz w:val="24"/>
          <w:szCs w:val="24"/>
          <w:lang w:val="fr-FR"/>
        </w:rPr>
        <w:t xml:space="preserve">Tilburg </w:t>
      </w:r>
      <w:r w:rsidR="00B67A79" w:rsidRPr="006B603F">
        <w:rPr>
          <w:rFonts w:ascii="Times New Roman" w:hAnsi="Times New Roman" w:cs="Times New Roman"/>
          <w:sz w:val="24"/>
          <w:szCs w:val="24"/>
          <w:lang w:val="fr-FR"/>
        </w:rPr>
        <w:t>(Pays-Bas), 25-27</w:t>
      </w:r>
      <w:r w:rsidRPr="006B603F">
        <w:rPr>
          <w:rFonts w:ascii="Times New Roman" w:hAnsi="Times New Roman" w:cs="Times New Roman"/>
          <w:sz w:val="24"/>
          <w:szCs w:val="24"/>
          <w:lang w:val="fr-FR"/>
        </w:rPr>
        <w:t xml:space="preserve"> septembre 2014</w:t>
      </w:r>
    </w:p>
    <w:p w14:paraId="1240EDD3" w14:textId="77777777" w:rsidR="007D497D" w:rsidRPr="006B603F" w:rsidRDefault="007D497D" w:rsidP="007D497D">
      <w:pPr>
        <w:rPr>
          <w:rFonts w:ascii="Times New Roman" w:hAnsi="Times New Roman" w:cs="Times New Roman"/>
          <w:sz w:val="24"/>
          <w:szCs w:val="24"/>
          <w:lang w:val="fr-FR"/>
        </w:rPr>
      </w:pPr>
    </w:p>
    <w:p w14:paraId="5FF0649C" w14:textId="77777777" w:rsidR="007D497D" w:rsidRPr="006B603F" w:rsidRDefault="007D497D" w:rsidP="007D497D">
      <w:pPr>
        <w:jc w:val="center"/>
        <w:rPr>
          <w:rFonts w:ascii="Times New Roman" w:hAnsi="Times New Roman" w:cs="Times New Roman"/>
          <w:b/>
          <w:sz w:val="24"/>
          <w:szCs w:val="24"/>
          <w:lang w:val="en-US"/>
        </w:rPr>
      </w:pPr>
      <w:r w:rsidRPr="006B603F">
        <w:rPr>
          <w:rFonts w:ascii="Times New Roman" w:hAnsi="Times New Roman" w:cs="Times New Roman"/>
          <w:b/>
          <w:sz w:val="24"/>
          <w:szCs w:val="24"/>
          <w:lang w:val="en-US"/>
        </w:rPr>
        <w:t>"Religions, rituels et croyances dans le bassin du lac Tchad"</w:t>
      </w:r>
    </w:p>
    <w:p w14:paraId="24509C48" w14:textId="77777777" w:rsidR="007D497D" w:rsidRPr="006B603F" w:rsidRDefault="007D497D" w:rsidP="007D497D">
      <w:pPr>
        <w:rPr>
          <w:rFonts w:ascii="Times New Roman" w:hAnsi="Times New Roman" w:cs="Times New Roman"/>
          <w:sz w:val="24"/>
          <w:szCs w:val="24"/>
          <w:lang w:val="en-US"/>
        </w:rPr>
      </w:pPr>
    </w:p>
    <w:p w14:paraId="43883984" w14:textId="77777777" w:rsidR="007D497D" w:rsidRPr="006B603F" w:rsidRDefault="007D497D" w:rsidP="007D497D">
      <w:pPr>
        <w:rPr>
          <w:rFonts w:ascii="Times New Roman" w:hAnsi="Times New Roman" w:cs="Times New Roman"/>
          <w:sz w:val="24"/>
          <w:szCs w:val="24"/>
          <w:lang w:val="en-US"/>
        </w:rPr>
      </w:pPr>
      <w:r w:rsidRPr="006B603F">
        <w:rPr>
          <w:rFonts w:ascii="Times New Roman" w:hAnsi="Times New Roman" w:cs="Times New Roman"/>
          <w:sz w:val="24"/>
          <w:szCs w:val="24"/>
          <w:lang w:val="en-US"/>
        </w:rPr>
        <w:t>APPEL A COMMUNICATIONS</w:t>
      </w:r>
    </w:p>
    <w:p w14:paraId="5C13621B" w14:textId="157234E0" w:rsidR="00F430F9" w:rsidRPr="006B603F" w:rsidRDefault="007D497D" w:rsidP="007D497D">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Dans les cultures et les sociétés du bassin du lac Tchad</w:t>
      </w:r>
      <w:r w:rsidR="00B67A79" w:rsidRPr="006B603F">
        <w:rPr>
          <w:rFonts w:ascii="Times New Roman" w:hAnsi="Times New Roman" w:cs="Times New Roman"/>
          <w:sz w:val="24"/>
          <w:szCs w:val="24"/>
          <w:lang w:val="en-US"/>
        </w:rPr>
        <w:t>,</w:t>
      </w:r>
      <w:r w:rsidRPr="006B603F">
        <w:rPr>
          <w:rFonts w:ascii="Times New Roman" w:hAnsi="Times New Roman" w:cs="Times New Roman"/>
          <w:sz w:val="24"/>
          <w:szCs w:val="24"/>
          <w:lang w:val="en-US"/>
        </w:rPr>
        <w:t xml:space="preserve"> </w:t>
      </w:r>
      <w:r w:rsidR="00F430F9" w:rsidRPr="006B603F">
        <w:rPr>
          <w:rFonts w:ascii="Times New Roman" w:hAnsi="Times New Roman" w:cs="Times New Roman"/>
          <w:sz w:val="24"/>
          <w:szCs w:val="24"/>
          <w:lang w:val="en-US"/>
        </w:rPr>
        <w:t>se déploie</w:t>
      </w:r>
      <w:r w:rsidRPr="006B603F">
        <w:rPr>
          <w:rFonts w:ascii="Times New Roman" w:hAnsi="Times New Roman" w:cs="Times New Roman"/>
          <w:sz w:val="24"/>
          <w:szCs w:val="24"/>
          <w:lang w:val="en-US"/>
        </w:rPr>
        <w:t xml:space="preserve"> un large éventail de religions et une grande variété de dynamiques religieuses. Qu'elles soient ancrées dans des modes de vie anciens, ou qu'elles permettent de s'adapter à un monde en rapide changement, elles </w:t>
      </w:r>
      <w:r w:rsidR="00F430F9" w:rsidRPr="006B603F">
        <w:rPr>
          <w:rFonts w:ascii="Times New Roman" w:hAnsi="Times New Roman" w:cs="Times New Roman"/>
          <w:sz w:val="24"/>
          <w:szCs w:val="24"/>
          <w:lang w:val="en-US"/>
        </w:rPr>
        <w:t>s</w:t>
      </w:r>
      <w:r w:rsidRPr="006B603F">
        <w:rPr>
          <w:rFonts w:ascii="Times New Roman" w:hAnsi="Times New Roman" w:cs="Times New Roman"/>
          <w:sz w:val="24"/>
          <w:szCs w:val="24"/>
          <w:lang w:val="en-US"/>
        </w:rPr>
        <w:t xml:space="preserve">ont toujours </w:t>
      </w:r>
      <w:r w:rsidR="00F430F9" w:rsidRPr="006B603F">
        <w:rPr>
          <w:rFonts w:ascii="Times New Roman" w:hAnsi="Times New Roman" w:cs="Times New Roman"/>
          <w:sz w:val="24"/>
          <w:szCs w:val="24"/>
          <w:lang w:val="en-US"/>
        </w:rPr>
        <w:t>essentielles</w:t>
      </w:r>
      <w:r w:rsidRPr="006B603F">
        <w:rPr>
          <w:rFonts w:ascii="Times New Roman" w:hAnsi="Times New Roman" w:cs="Times New Roman"/>
          <w:sz w:val="24"/>
          <w:szCs w:val="24"/>
          <w:lang w:val="en-US"/>
        </w:rPr>
        <w:t xml:space="preserve"> pour les populations en cause. Dans ce XVI</w:t>
      </w:r>
      <w:r w:rsidRPr="006B603F">
        <w:rPr>
          <w:rFonts w:ascii="Times New Roman" w:hAnsi="Times New Roman"/>
          <w:sz w:val="24"/>
          <w:szCs w:val="24"/>
          <w:vertAlign w:val="superscript"/>
        </w:rPr>
        <w:t>e</w:t>
      </w:r>
      <w:r w:rsidRPr="006B603F">
        <w:rPr>
          <w:rFonts w:ascii="Times New Roman" w:hAnsi="Times New Roman" w:cs="Times New Roman"/>
          <w:sz w:val="24"/>
          <w:szCs w:val="24"/>
          <w:lang w:val="en-US"/>
        </w:rPr>
        <w:t xml:space="preserve"> colloque du réseau Méga-Tchad, nous souhaitons </w:t>
      </w:r>
      <w:r w:rsidR="00F430F9" w:rsidRPr="006B603F">
        <w:rPr>
          <w:rFonts w:ascii="Times New Roman" w:hAnsi="Times New Roman" w:cs="Times New Roman"/>
          <w:sz w:val="24"/>
          <w:szCs w:val="24"/>
          <w:lang w:val="en-US"/>
        </w:rPr>
        <w:t>examiner en quoi</w:t>
      </w:r>
      <w:r w:rsidRPr="006B603F">
        <w:rPr>
          <w:rFonts w:ascii="Times New Roman" w:hAnsi="Times New Roman" w:cs="Times New Roman"/>
          <w:sz w:val="24"/>
          <w:szCs w:val="24"/>
          <w:lang w:val="en-US"/>
        </w:rPr>
        <w:t xml:space="preserve"> les questions religieuses éclairent le passé, le présent</w:t>
      </w:r>
      <w:r w:rsidR="00F430F9" w:rsidRPr="006B603F">
        <w:rPr>
          <w:rFonts w:ascii="Times New Roman" w:hAnsi="Times New Roman" w:cs="Times New Roman"/>
          <w:sz w:val="24"/>
          <w:szCs w:val="24"/>
          <w:lang w:val="en-US"/>
        </w:rPr>
        <w:t>,</w:t>
      </w:r>
      <w:r w:rsidRPr="006B603F">
        <w:rPr>
          <w:rFonts w:ascii="Times New Roman" w:hAnsi="Times New Roman" w:cs="Times New Roman"/>
          <w:sz w:val="24"/>
          <w:szCs w:val="24"/>
          <w:lang w:val="en-US"/>
        </w:rPr>
        <w:t xml:space="preserve"> et même le futur.</w:t>
      </w:r>
      <w:r w:rsidR="00F430F9" w:rsidRPr="006B603F">
        <w:rPr>
          <w:rFonts w:ascii="Times New Roman" w:hAnsi="Times New Roman" w:cs="Times New Roman"/>
          <w:sz w:val="24"/>
          <w:szCs w:val="24"/>
          <w:lang w:val="en-US"/>
        </w:rPr>
        <w:t xml:space="preserve"> Toute religion est par nature difficile à saisir, du fait qu'elle traite de phénomènes qu'elle situe par delà le monde réel, et qu</w:t>
      </w:r>
      <w:r w:rsidR="00C565A8" w:rsidRPr="006B603F">
        <w:rPr>
          <w:rFonts w:ascii="Times New Roman" w:hAnsi="Times New Roman" w:cs="Times New Roman"/>
          <w:sz w:val="24"/>
          <w:szCs w:val="24"/>
          <w:lang w:val="en-US"/>
        </w:rPr>
        <w:t>i</w:t>
      </w:r>
      <w:r w:rsidR="00F430F9" w:rsidRPr="006B603F">
        <w:rPr>
          <w:rFonts w:ascii="Times New Roman" w:hAnsi="Times New Roman" w:cs="Times New Roman"/>
          <w:sz w:val="24"/>
          <w:szCs w:val="24"/>
          <w:lang w:val="en-US"/>
        </w:rPr>
        <w:t xml:space="preserve"> échappe</w:t>
      </w:r>
      <w:r w:rsidR="00C565A8" w:rsidRPr="006B603F">
        <w:rPr>
          <w:rFonts w:ascii="Times New Roman" w:hAnsi="Times New Roman" w:cs="Times New Roman"/>
          <w:sz w:val="24"/>
          <w:szCs w:val="24"/>
          <w:lang w:val="en-US"/>
        </w:rPr>
        <w:t>nt</w:t>
      </w:r>
      <w:r w:rsidR="00F430F9" w:rsidRPr="006B603F">
        <w:rPr>
          <w:rFonts w:ascii="Times New Roman" w:hAnsi="Times New Roman" w:cs="Times New Roman"/>
          <w:sz w:val="24"/>
          <w:szCs w:val="24"/>
          <w:lang w:val="en-US"/>
        </w:rPr>
        <w:t xml:space="preserve"> de ce fait à l'analyse scientifique</w:t>
      </w:r>
      <w:r w:rsidR="00C565A8" w:rsidRPr="006B603F">
        <w:rPr>
          <w:rFonts w:ascii="Times New Roman" w:hAnsi="Times New Roman" w:cs="Times New Roman"/>
          <w:sz w:val="24"/>
          <w:szCs w:val="24"/>
          <w:lang w:val="en-US"/>
        </w:rPr>
        <w:t xml:space="preserve">. Aussi notre définition de la religion sera-t-elle la plus large possible : </w:t>
      </w:r>
      <w:r w:rsidR="00C565A8" w:rsidRPr="006B603F">
        <w:rPr>
          <w:rFonts w:ascii="Times New Roman" w:hAnsi="Times New Roman" w:cs="Times New Roman"/>
          <w:i/>
          <w:sz w:val="24"/>
          <w:szCs w:val="24"/>
          <w:lang w:val="en-US"/>
        </w:rPr>
        <w:t>des actions, des discours et des concepts qui portent sur une réalité invérifiable.</w:t>
      </w:r>
      <w:r w:rsidR="00C565A8" w:rsidRPr="006B603F">
        <w:rPr>
          <w:rFonts w:ascii="Times New Roman" w:hAnsi="Times New Roman" w:cs="Times New Roman"/>
          <w:sz w:val="24"/>
          <w:szCs w:val="24"/>
          <w:lang w:val="en-US"/>
        </w:rPr>
        <w:t xml:space="preserve"> Toutes les opérations touchant au monde de "l'invisible" sont par elles-mêmes des faits empiriques, qui se prêtent donc à l'investigation scientifique. La religion est liée à tous les autres aspects d'une culture, tels que l</w:t>
      </w:r>
      <w:r w:rsidR="00B46F5E" w:rsidRPr="006B603F">
        <w:rPr>
          <w:rFonts w:ascii="Times New Roman" w:hAnsi="Times New Roman" w:cs="Times New Roman"/>
          <w:sz w:val="24"/>
          <w:szCs w:val="24"/>
          <w:lang w:val="en-US"/>
        </w:rPr>
        <w:t xml:space="preserve">a politique, l'économie, l'écologie, les processus sociaux, la maladie et les soins, l'art, la musique, la danse et les faits de langage. </w:t>
      </w:r>
      <w:r w:rsidR="00B55FFB" w:rsidRPr="006B603F">
        <w:rPr>
          <w:rFonts w:ascii="Times New Roman" w:hAnsi="Times New Roman" w:cs="Times New Roman"/>
          <w:sz w:val="24"/>
          <w:szCs w:val="24"/>
          <w:lang w:val="en-US"/>
        </w:rPr>
        <w:t>L</w:t>
      </w:r>
      <w:r w:rsidR="00B46F5E" w:rsidRPr="006B603F">
        <w:rPr>
          <w:rFonts w:ascii="Times New Roman" w:hAnsi="Times New Roman" w:cs="Times New Roman"/>
          <w:sz w:val="24"/>
          <w:szCs w:val="24"/>
          <w:lang w:val="en-US"/>
        </w:rPr>
        <w:t xml:space="preserve">'intérêt des études religieuses se situe </w:t>
      </w:r>
      <w:r w:rsidR="00B55FFB" w:rsidRPr="006B603F">
        <w:rPr>
          <w:rFonts w:ascii="Times New Roman" w:hAnsi="Times New Roman" w:cs="Times New Roman"/>
          <w:sz w:val="24"/>
          <w:szCs w:val="24"/>
          <w:lang w:val="en-US"/>
        </w:rPr>
        <w:t xml:space="preserve">ainsi </w:t>
      </w:r>
      <w:r w:rsidR="00B46F5E" w:rsidRPr="006B603F">
        <w:rPr>
          <w:rFonts w:ascii="Times New Roman" w:hAnsi="Times New Roman" w:cs="Times New Roman"/>
          <w:sz w:val="24"/>
          <w:szCs w:val="24"/>
          <w:lang w:val="en-US"/>
        </w:rPr>
        <w:t xml:space="preserve">à la fois dans le processus religieux </w:t>
      </w:r>
      <w:r w:rsidR="00B67A79" w:rsidRPr="006B603F">
        <w:rPr>
          <w:rFonts w:ascii="Times New Roman" w:hAnsi="Times New Roman" w:cs="Times New Roman"/>
          <w:sz w:val="24"/>
          <w:szCs w:val="24"/>
          <w:lang w:val="en-US"/>
        </w:rPr>
        <w:t>lui-même</w:t>
      </w:r>
      <w:r w:rsidR="00B46F5E" w:rsidRPr="006B603F">
        <w:rPr>
          <w:rFonts w:ascii="Times New Roman" w:hAnsi="Times New Roman" w:cs="Times New Roman"/>
          <w:sz w:val="24"/>
          <w:szCs w:val="24"/>
          <w:lang w:val="en-US"/>
        </w:rPr>
        <w:t>, et dans ses ramifications multiples dans d'autres champs de la vie sociale et du changement socio-culturel.</w:t>
      </w:r>
    </w:p>
    <w:p w14:paraId="6EA787E3" w14:textId="5406E2BF" w:rsidR="00B46F5E" w:rsidRPr="006B603F" w:rsidRDefault="00B46F5E" w:rsidP="007D497D">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 xml:space="preserve">Nous voulons </w:t>
      </w:r>
      <w:r w:rsidR="00B67A79" w:rsidRPr="006B603F">
        <w:rPr>
          <w:rFonts w:ascii="Times New Roman" w:hAnsi="Times New Roman" w:cs="Times New Roman"/>
          <w:sz w:val="24"/>
          <w:szCs w:val="24"/>
          <w:lang w:val="en-US"/>
        </w:rPr>
        <w:t xml:space="preserve">donc </w:t>
      </w:r>
      <w:r w:rsidRPr="006B603F">
        <w:rPr>
          <w:rFonts w:ascii="Times New Roman" w:hAnsi="Times New Roman" w:cs="Times New Roman"/>
          <w:sz w:val="24"/>
          <w:szCs w:val="24"/>
          <w:lang w:val="en-US"/>
        </w:rPr>
        <w:t xml:space="preserve">appréhender les religions aussi bien dans leurs dynamiques internes que dans leurs ancrages socioculturels. La logique intrinsèque des concepts religieux, la structure des rituels et la compréhension transculturelle des expériences religieuses sont un aspect des choses, tandis que par ailleurs la religion est un instrument politique, facilite l'adaptation </w:t>
      </w:r>
      <w:r w:rsidR="00FF72FB" w:rsidRPr="006B603F">
        <w:rPr>
          <w:rFonts w:ascii="Times New Roman" w:hAnsi="Times New Roman" w:cs="Times New Roman"/>
          <w:sz w:val="24"/>
          <w:szCs w:val="24"/>
          <w:lang w:val="en-US"/>
        </w:rPr>
        <w:t>au changement, et lie les populatio</w:t>
      </w:r>
      <w:r w:rsidR="00B67A79" w:rsidRPr="006B603F">
        <w:rPr>
          <w:rFonts w:ascii="Times New Roman" w:hAnsi="Times New Roman" w:cs="Times New Roman"/>
          <w:sz w:val="24"/>
          <w:szCs w:val="24"/>
          <w:lang w:val="en-US"/>
        </w:rPr>
        <w:t>ns locales à un monde globalisé ;</w:t>
      </w:r>
      <w:r w:rsidR="00FF72FB" w:rsidRPr="006B603F">
        <w:rPr>
          <w:rFonts w:ascii="Times New Roman" w:hAnsi="Times New Roman" w:cs="Times New Roman"/>
          <w:sz w:val="24"/>
          <w:szCs w:val="24"/>
          <w:lang w:val="en-US"/>
        </w:rPr>
        <w:t xml:space="preserve"> bref, elle est un indicateur des évolutions locales ou plus larges dans notre zone d'étude.</w:t>
      </w:r>
    </w:p>
    <w:p w14:paraId="2C1506C1" w14:textId="77777777" w:rsidR="00FF72FB" w:rsidRPr="006B603F" w:rsidRDefault="00FF72FB" w:rsidP="00FF72FB">
      <w:pPr>
        <w:pStyle w:val="Paragraphedeliste"/>
        <w:numPr>
          <w:ilvl w:val="0"/>
          <w:numId w:val="1"/>
        </w:numPr>
        <w:jc w:val="both"/>
        <w:rPr>
          <w:rFonts w:ascii="Times New Roman" w:hAnsi="Times New Roman" w:cs="Times New Roman"/>
          <w:b/>
          <w:sz w:val="24"/>
          <w:szCs w:val="24"/>
          <w:lang w:val="en-US"/>
        </w:rPr>
      </w:pPr>
      <w:r w:rsidRPr="006B603F">
        <w:rPr>
          <w:rFonts w:ascii="Times New Roman" w:hAnsi="Times New Roman" w:cs="Times New Roman"/>
          <w:b/>
          <w:sz w:val="24"/>
          <w:szCs w:val="24"/>
          <w:lang w:val="en-US"/>
        </w:rPr>
        <w:t>L</w:t>
      </w:r>
      <w:r w:rsidR="0023650F" w:rsidRPr="006B603F">
        <w:rPr>
          <w:rFonts w:ascii="Times New Roman" w:hAnsi="Times New Roman" w:cs="Times New Roman"/>
          <w:b/>
          <w:sz w:val="24"/>
          <w:szCs w:val="24"/>
          <w:lang w:val="en-US"/>
        </w:rPr>
        <w:t xml:space="preserve">es </w:t>
      </w:r>
      <w:r w:rsidRPr="006B603F">
        <w:rPr>
          <w:rFonts w:ascii="Times New Roman" w:hAnsi="Times New Roman" w:cs="Times New Roman"/>
          <w:b/>
          <w:sz w:val="24"/>
          <w:szCs w:val="24"/>
          <w:lang w:val="en-US"/>
        </w:rPr>
        <w:t xml:space="preserve">religions </w:t>
      </w:r>
      <w:r w:rsidR="0023650F" w:rsidRPr="006B603F">
        <w:rPr>
          <w:rFonts w:ascii="Times New Roman" w:hAnsi="Times New Roman" w:cs="Times New Roman"/>
          <w:b/>
          <w:sz w:val="24"/>
          <w:szCs w:val="24"/>
          <w:lang w:val="en-US"/>
        </w:rPr>
        <w:t>locales et leurs dynamique</w:t>
      </w:r>
      <w:r w:rsidRPr="006B603F">
        <w:rPr>
          <w:rFonts w:ascii="Times New Roman" w:hAnsi="Times New Roman" w:cs="Times New Roman"/>
          <w:b/>
          <w:sz w:val="24"/>
          <w:szCs w:val="24"/>
          <w:lang w:val="en-US"/>
        </w:rPr>
        <w:t>s</w:t>
      </w:r>
    </w:p>
    <w:p w14:paraId="077A62B2" w14:textId="77777777" w:rsidR="006B603F" w:rsidRDefault="0023650F" w:rsidP="00FF72FB">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Les religions africaines locales, dans cette ré</w:t>
      </w:r>
      <w:r w:rsidR="00B67A79" w:rsidRPr="006B603F">
        <w:rPr>
          <w:rFonts w:ascii="Times New Roman" w:hAnsi="Times New Roman" w:cs="Times New Roman"/>
          <w:sz w:val="24"/>
          <w:szCs w:val="24"/>
          <w:lang w:val="en-US"/>
        </w:rPr>
        <w:t>gion, sont encore très vivantes</w:t>
      </w:r>
      <w:r w:rsidRPr="006B603F">
        <w:rPr>
          <w:rFonts w:ascii="Times New Roman" w:hAnsi="Times New Roman" w:cs="Times New Roman"/>
          <w:sz w:val="24"/>
          <w:szCs w:val="24"/>
          <w:lang w:val="en-US"/>
        </w:rPr>
        <w:t xml:space="preserve"> et se prêtent à l'investigation des anthropologues, des spécialistes des faits religieux et des linguistes</w:t>
      </w:r>
      <w:r w:rsidR="006665BF" w:rsidRPr="006B603F">
        <w:rPr>
          <w:rFonts w:ascii="Times New Roman" w:hAnsi="Times New Roman" w:cs="Times New Roman"/>
          <w:sz w:val="24"/>
          <w:szCs w:val="24"/>
          <w:lang w:val="en-US"/>
        </w:rPr>
        <w:t>. Les religions traditionnelles africaines sont très diverses et ne peuvent se réduire à une seule catégorie. Leurs formes et leurs expressions variées sont à considérer avec le respect qui s'impose. Leur description</w:t>
      </w:r>
      <w:r w:rsidR="00B67A79" w:rsidRPr="006B603F">
        <w:rPr>
          <w:rFonts w:ascii="Times New Roman" w:hAnsi="Times New Roman" w:cs="Times New Roman"/>
          <w:sz w:val="24"/>
          <w:szCs w:val="24"/>
          <w:lang w:val="en-US"/>
        </w:rPr>
        <w:t>,</w:t>
      </w:r>
      <w:r w:rsidR="006665BF" w:rsidRPr="006B603F">
        <w:rPr>
          <w:rFonts w:ascii="Times New Roman" w:hAnsi="Times New Roman" w:cs="Times New Roman"/>
          <w:sz w:val="24"/>
          <w:szCs w:val="24"/>
          <w:lang w:val="en-US"/>
        </w:rPr>
        <w:t xml:space="preserve"> qui doit faire appel à la linguistique, l'anthropologie, l'archéologie et la géographie</w:t>
      </w:r>
      <w:r w:rsidR="00B67A79" w:rsidRPr="006B603F">
        <w:rPr>
          <w:rFonts w:ascii="Times New Roman" w:hAnsi="Times New Roman" w:cs="Times New Roman"/>
          <w:sz w:val="24"/>
          <w:szCs w:val="24"/>
          <w:lang w:val="en-US"/>
        </w:rPr>
        <w:t>,</w:t>
      </w:r>
      <w:r w:rsidR="006665BF" w:rsidRPr="006B603F">
        <w:rPr>
          <w:rFonts w:ascii="Times New Roman" w:hAnsi="Times New Roman" w:cs="Times New Roman"/>
          <w:sz w:val="24"/>
          <w:szCs w:val="24"/>
          <w:lang w:val="en-US"/>
        </w:rPr>
        <w:t xml:space="preserve"> est loin d'être achevée, c'est pourquoi des contributions sur la </w:t>
      </w:r>
      <w:r w:rsidR="006665BF" w:rsidRPr="006B603F">
        <w:rPr>
          <w:rFonts w:ascii="Times New Roman" w:hAnsi="Times New Roman" w:cs="Times New Roman"/>
          <w:b/>
          <w:sz w:val="24"/>
          <w:szCs w:val="24"/>
          <w:lang w:val="en-US"/>
        </w:rPr>
        <w:t>description des religions traditionnelles</w:t>
      </w:r>
      <w:r w:rsidR="006665BF" w:rsidRPr="006B603F">
        <w:rPr>
          <w:rFonts w:ascii="Times New Roman" w:hAnsi="Times New Roman" w:cs="Times New Roman"/>
          <w:sz w:val="24"/>
          <w:szCs w:val="24"/>
          <w:lang w:val="en-US"/>
        </w:rPr>
        <w:t xml:space="preserve"> seront les bienvenues. C'est un domaine où la pluridisciplinarité s'impose. Un point théorique crucial est la </w:t>
      </w:r>
      <w:r w:rsidR="006665BF" w:rsidRPr="006B603F">
        <w:rPr>
          <w:rFonts w:ascii="Times New Roman" w:hAnsi="Times New Roman" w:cs="Times New Roman"/>
          <w:b/>
          <w:sz w:val="24"/>
          <w:szCs w:val="24"/>
          <w:lang w:val="en-US"/>
        </w:rPr>
        <w:t>traduction</w:t>
      </w:r>
      <w:r w:rsidR="006665BF" w:rsidRPr="006B603F">
        <w:rPr>
          <w:rFonts w:ascii="Times New Roman" w:hAnsi="Times New Roman" w:cs="Times New Roman"/>
          <w:sz w:val="24"/>
          <w:szCs w:val="24"/>
          <w:lang w:val="en-US"/>
        </w:rPr>
        <w:t xml:space="preserve"> et la </w:t>
      </w:r>
      <w:r w:rsidR="006665BF" w:rsidRPr="006B603F">
        <w:rPr>
          <w:rFonts w:ascii="Times New Roman" w:hAnsi="Times New Roman" w:cs="Times New Roman"/>
          <w:b/>
          <w:sz w:val="24"/>
          <w:szCs w:val="24"/>
          <w:lang w:val="en-US"/>
        </w:rPr>
        <w:t>compréhension</w:t>
      </w:r>
      <w:r w:rsidR="006665BF" w:rsidRPr="006B603F">
        <w:rPr>
          <w:rFonts w:ascii="Times New Roman" w:hAnsi="Times New Roman" w:cs="Times New Roman"/>
          <w:sz w:val="24"/>
          <w:szCs w:val="24"/>
          <w:lang w:val="en-US"/>
        </w:rPr>
        <w:t xml:space="preserve"> générale de ces religions locales par les chercheurs, que leur regard soit intérieur ou extérieur.</w:t>
      </w:r>
    </w:p>
    <w:p w14:paraId="0C4BD9D0" w14:textId="7D28ED19" w:rsidR="00FF72FB" w:rsidRPr="006B603F" w:rsidRDefault="006665BF" w:rsidP="006B603F">
      <w:pPr>
        <w:spacing w:after="0" w:line="240" w:lineRule="auto"/>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 xml:space="preserve">Des </w:t>
      </w:r>
      <w:r w:rsidRPr="006B603F">
        <w:rPr>
          <w:rFonts w:ascii="Times New Roman" w:hAnsi="Times New Roman" w:cs="Times New Roman"/>
          <w:b/>
          <w:sz w:val="24"/>
          <w:szCs w:val="24"/>
          <w:lang w:val="en-US"/>
        </w:rPr>
        <w:t xml:space="preserve">études comparatives </w:t>
      </w:r>
      <w:r w:rsidRPr="006B603F">
        <w:rPr>
          <w:rFonts w:ascii="Times New Roman" w:hAnsi="Times New Roman" w:cs="Times New Roman"/>
          <w:sz w:val="24"/>
          <w:szCs w:val="24"/>
          <w:lang w:val="en-US"/>
        </w:rPr>
        <w:t>sur les diverses zones culturelles du bassin du lac Tchad seront particulièrement bienvenues</w:t>
      </w:r>
      <w:r w:rsidR="00187660" w:rsidRPr="006B603F">
        <w:rPr>
          <w:rFonts w:ascii="Times New Roman" w:hAnsi="Times New Roman" w:cs="Times New Roman"/>
          <w:sz w:val="24"/>
          <w:szCs w:val="24"/>
          <w:lang w:val="en-US"/>
        </w:rPr>
        <w:t xml:space="preserve">, car elles sont peu nombreuses. Dans ce domaine on pourra s'inspirer du travail de notre collègue </w:t>
      </w:r>
      <w:r w:rsidR="00FF72FB" w:rsidRPr="006B603F">
        <w:rPr>
          <w:rFonts w:ascii="Times New Roman" w:hAnsi="Times New Roman" w:cs="Times New Roman"/>
          <w:sz w:val="24"/>
          <w:szCs w:val="24"/>
          <w:lang w:val="en-US"/>
        </w:rPr>
        <w:t xml:space="preserve">Jeanne-Francoise Vincent, </w:t>
      </w:r>
      <w:r w:rsidR="00187660" w:rsidRPr="006B603F">
        <w:rPr>
          <w:rFonts w:ascii="Times New Roman" w:hAnsi="Times New Roman" w:cs="Times New Roman"/>
          <w:sz w:val="24"/>
          <w:szCs w:val="24"/>
          <w:lang w:val="en-US"/>
        </w:rPr>
        <w:t>disparue récemment</w:t>
      </w:r>
      <w:r w:rsidR="00FF72FB" w:rsidRPr="006B603F">
        <w:rPr>
          <w:rStyle w:val="Marquenotebasdepage"/>
          <w:rFonts w:ascii="Times New Roman" w:hAnsi="Times New Roman" w:cs="Times New Roman"/>
          <w:sz w:val="24"/>
          <w:szCs w:val="24"/>
          <w:lang w:val="en-US"/>
        </w:rPr>
        <w:footnoteReference w:id="1"/>
      </w:r>
      <w:r w:rsidR="00187660" w:rsidRPr="006B603F">
        <w:rPr>
          <w:rFonts w:ascii="Times New Roman" w:hAnsi="Times New Roman" w:cs="Times New Roman"/>
          <w:sz w:val="24"/>
          <w:szCs w:val="24"/>
          <w:lang w:val="en-US"/>
        </w:rPr>
        <w:t>.</w:t>
      </w:r>
    </w:p>
    <w:p w14:paraId="0E0DF073" w14:textId="155228B5" w:rsidR="00FF72FB" w:rsidRPr="006B603F" w:rsidRDefault="00B52A49" w:rsidP="00FF72FB">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lastRenderedPageBreak/>
        <w:t xml:space="preserve">On s'intéressera aussi aux dynamiques d'interaction entre ces religions locales et les religions écrites, l'Islam et le Christianisme, dans leurs diverses formes. Ces dynamiques conduisent bien souvent à la </w:t>
      </w:r>
      <w:r w:rsidRPr="006B603F">
        <w:rPr>
          <w:rFonts w:ascii="Times New Roman" w:hAnsi="Times New Roman" w:cs="Times New Roman"/>
          <w:b/>
          <w:sz w:val="24"/>
          <w:szCs w:val="24"/>
          <w:lang w:val="en-US"/>
        </w:rPr>
        <w:t>disparition des religions locales</w:t>
      </w:r>
      <w:r w:rsidRPr="006B603F">
        <w:rPr>
          <w:rFonts w:ascii="Times New Roman" w:hAnsi="Times New Roman" w:cs="Times New Roman"/>
          <w:sz w:val="24"/>
          <w:szCs w:val="24"/>
          <w:lang w:val="en-US"/>
        </w:rPr>
        <w:t xml:space="preserve">, mais il ne s'agit jamais d'un processus simple, ni d'un abandon </w:t>
      </w:r>
      <w:r w:rsidR="00B67A79" w:rsidRPr="006B603F">
        <w:rPr>
          <w:rFonts w:ascii="Times New Roman" w:hAnsi="Times New Roman" w:cs="Times New Roman"/>
          <w:sz w:val="24"/>
          <w:szCs w:val="24"/>
          <w:lang w:val="en-US"/>
        </w:rPr>
        <w:t>total</w:t>
      </w:r>
      <w:r w:rsidRPr="006B603F">
        <w:rPr>
          <w:rFonts w:ascii="Times New Roman" w:hAnsi="Times New Roman" w:cs="Times New Roman"/>
          <w:sz w:val="24"/>
          <w:szCs w:val="24"/>
          <w:lang w:val="en-US"/>
        </w:rPr>
        <w:t xml:space="preserve"> de la scène religieuse.</w:t>
      </w:r>
    </w:p>
    <w:p w14:paraId="47CE2D90" w14:textId="10368444" w:rsidR="00FF72FB" w:rsidRPr="006B603F" w:rsidRDefault="00B52A49" w:rsidP="00FF72FB">
      <w:pPr>
        <w:pStyle w:val="Paragraphedeliste"/>
        <w:numPr>
          <w:ilvl w:val="0"/>
          <w:numId w:val="1"/>
        </w:numPr>
        <w:jc w:val="both"/>
        <w:rPr>
          <w:rFonts w:ascii="Times New Roman" w:hAnsi="Times New Roman" w:cs="Times New Roman"/>
          <w:b/>
          <w:sz w:val="24"/>
          <w:szCs w:val="24"/>
          <w:lang w:val="en-US"/>
        </w:rPr>
      </w:pPr>
      <w:r w:rsidRPr="006B603F">
        <w:rPr>
          <w:rFonts w:ascii="Times New Roman" w:hAnsi="Times New Roman" w:cs="Times New Roman"/>
          <w:b/>
          <w:sz w:val="24"/>
          <w:szCs w:val="24"/>
          <w:lang w:val="en-US"/>
        </w:rPr>
        <w:t>L'</w:t>
      </w:r>
      <w:r w:rsidR="00FF72FB" w:rsidRPr="006B603F">
        <w:rPr>
          <w:rFonts w:ascii="Times New Roman" w:hAnsi="Times New Roman" w:cs="Times New Roman"/>
          <w:b/>
          <w:sz w:val="24"/>
          <w:szCs w:val="24"/>
          <w:lang w:val="en-US"/>
        </w:rPr>
        <w:t>Islam, politi</w:t>
      </w:r>
      <w:r w:rsidRPr="006B603F">
        <w:rPr>
          <w:rFonts w:ascii="Times New Roman" w:hAnsi="Times New Roman" w:cs="Times New Roman"/>
          <w:b/>
          <w:sz w:val="24"/>
          <w:szCs w:val="24"/>
          <w:lang w:val="en-US"/>
        </w:rPr>
        <w:t>que et autre</w:t>
      </w:r>
    </w:p>
    <w:p w14:paraId="631040AA" w14:textId="77777777" w:rsidR="00950E37" w:rsidRPr="006B603F" w:rsidRDefault="00B52A49" w:rsidP="00FF72FB">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La seconde scène religieuse importante est celle de l'Islam, dans sa diversité relative, en lien avec les changements politiques, les pressions sociales et des phénomènes mondiaux. Le bassin du lac Tchad fait partie d'une région de plus en plus instab</w:t>
      </w:r>
      <w:r w:rsidR="00950E37" w:rsidRPr="006B603F">
        <w:rPr>
          <w:rFonts w:ascii="Times New Roman" w:hAnsi="Times New Roman" w:cs="Times New Roman"/>
          <w:sz w:val="24"/>
          <w:szCs w:val="24"/>
          <w:lang w:val="en-US"/>
        </w:rPr>
        <w:t>le, avec un islamisme qui se po</w:t>
      </w:r>
      <w:r w:rsidRPr="006B603F">
        <w:rPr>
          <w:rFonts w:ascii="Times New Roman" w:hAnsi="Times New Roman" w:cs="Times New Roman"/>
          <w:sz w:val="24"/>
          <w:szCs w:val="24"/>
          <w:lang w:val="en-US"/>
        </w:rPr>
        <w:t>litise.</w:t>
      </w:r>
      <w:r w:rsidR="00950E37" w:rsidRPr="006B603F">
        <w:rPr>
          <w:rFonts w:ascii="Times New Roman" w:hAnsi="Times New Roman" w:cs="Times New Roman"/>
          <w:sz w:val="24"/>
          <w:szCs w:val="24"/>
          <w:lang w:val="en-US"/>
        </w:rPr>
        <w:t xml:space="preserve"> Le Nord du Nigeria connaît une histoire déjà longue de conflits religieux entre l'Islam et le Christianisme, et les exactions récentes de </w:t>
      </w:r>
      <w:r w:rsidR="00FF72FB" w:rsidRPr="006B603F">
        <w:rPr>
          <w:rFonts w:ascii="Times New Roman" w:hAnsi="Times New Roman" w:cs="Times New Roman"/>
          <w:sz w:val="24"/>
          <w:szCs w:val="24"/>
          <w:lang w:val="en-US"/>
        </w:rPr>
        <w:t xml:space="preserve">Boko Haram </w:t>
      </w:r>
      <w:r w:rsidR="00950E37" w:rsidRPr="006B603F">
        <w:rPr>
          <w:rFonts w:ascii="Times New Roman" w:hAnsi="Times New Roman" w:cs="Times New Roman"/>
          <w:sz w:val="24"/>
          <w:szCs w:val="24"/>
          <w:lang w:val="en-US"/>
        </w:rPr>
        <w:t>se sont étendues au delà des frontières.</w:t>
      </w:r>
    </w:p>
    <w:p w14:paraId="314430A8" w14:textId="36C53F6D" w:rsidR="00950E37" w:rsidRPr="006B603F" w:rsidRDefault="00950E37" w:rsidP="00FF72FB">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 xml:space="preserve">Mais cette politisation, dans notre région, ne touche pas l'ensemble des musulmans ; de nombreuses études portent sur l'exercice local de la religion musulmane dans diverses cultures, et dans ce domaine des tensions s'observent entre un Islam "officiel" et un </w:t>
      </w:r>
      <w:r w:rsidRPr="006B603F">
        <w:rPr>
          <w:rFonts w:ascii="Times New Roman" w:hAnsi="Times New Roman" w:cs="Times New Roman"/>
          <w:b/>
          <w:sz w:val="24"/>
          <w:szCs w:val="24"/>
          <w:lang w:val="en-US"/>
        </w:rPr>
        <w:t>Islam "populaire"</w:t>
      </w:r>
      <w:r w:rsidRPr="006B603F">
        <w:rPr>
          <w:rFonts w:ascii="Times New Roman" w:hAnsi="Times New Roman" w:cs="Times New Roman"/>
          <w:sz w:val="24"/>
          <w:szCs w:val="24"/>
          <w:lang w:val="en-US"/>
        </w:rPr>
        <w:t>, sujet qui a fait l'objet de développements récents dans les sciences religieuses.</w:t>
      </w:r>
    </w:p>
    <w:p w14:paraId="40CFA93E" w14:textId="431129FA" w:rsidR="00FF72FB" w:rsidRPr="006B603F" w:rsidRDefault="00950E37" w:rsidP="00FF72FB">
      <w:pPr>
        <w:pStyle w:val="Paragraphedeliste"/>
        <w:numPr>
          <w:ilvl w:val="0"/>
          <w:numId w:val="1"/>
        </w:numPr>
        <w:jc w:val="both"/>
        <w:rPr>
          <w:rFonts w:ascii="Times New Roman" w:hAnsi="Times New Roman" w:cs="Times New Roman"/>
          <w:b/>
          <w:sz w:val="24"/>
          <w:szCs w:val="24"/>
          <w:lang w:val="en-US"/>
        </w:rPr>
      </w:pPr>
      <w:r w:rsidRPr="006B603F">
        <w:rPr>
          <w:rFonts w:ascii="Times New Roman" w:hAnsi="Times New Roman" w:cs="Times New Roman"/>
          <w:b/>
          <w:sz w:val="24"/>
          <w:szCs w:val="24"/>
          <w:lang w:val="en-US"/>
        </w:rPr>
        <w:t>Le Christianisme, les missions et l'africanis</w:t>
      </w:r>
      <w:r w:rsidR="00FF72FB" w:rsidRPr="006B603F">
        <w:rPr>
          <w:rFonts w:ascii="Times New Roman" w:hAnsi="Times New Roman" w:cs="Times New Roman"/>
          <w:b/>
          <w:sz w:val="24"/>
          <w:szCs w:val="24"/>
          <w:lang w:val="en-US"/>
        </w:rPr>
        <w:t>ation</w:t>
      </w:r>
    </w:p>
    <w:p w14:paraId="05994319" w14:textId="5963301E" w:rsidR="00FF72FB" w:rsidRPr="006B603F" w:rsidRDefault="008B0321" w:rsidP="00FF72FB">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Le bassin du lac Tchad est peut-être l'une d</w:t>
      </w:r>
      <w:r w:rsidR="00B67A79" w:rsidRPr="006B603F">
        <w:rPr>
          <w:rFonts w:ascii="Times New Roman" w:hAnsi="Times New Roman" w:cs="Times New Roman"/>
          <w:sz w:val="24"/>
          <w:szCs w:val="24"/>
          <w:lang w:val="en-US"/>
        </w:rPr>
        <w:t>es dernières régions en Afrique</w:t>
      </w:r>
      <w:r w:rsidRPr="006B603F">
        <w:rPr>
          <w:rFonts w:ascii="Times New Roman" w:hAnsi="Times New Roman" w:cs="Times New Roman"/>
          <w:sz w:val="24"/>
          <w:szCs w:val="24"/>
          <w:lang w:val="en-US"/>
        </w:rPr>
        <w:t xml:space="preserve"> où le christianisme missionnaire peut encore être étudié. L'"indigénisation"</w:t>
      </w:r>
      <w:r w:rsidR="008A71BB" w:rsidRPr="006B603F">
        <w:rPr>
          <w:rFonts w:ascii="Times New Roman" w:hAnsi="Times New Roman" w:cs="Times New Roman"/>
          <w:sz w:val="24"/>
          <w:szCs w:val="24"/>
          <w:lang w:val="en-US"/>
        </w:rPr>
        <w:t xml:space="preserve"> ou </w:t>
      </w:r>
      <w:r w:rsidR="008A71BB" w:rsidRPr="006B603F">
        <w:rPr>
          <w:rFonts w:ascii="Times New Roman" w:hAnsi="Times New Roman" w:cs="Times New Roman"/>
          <w:b/>
          <w:sz w:val="24"/>
          <w:szCs w:val="24"/>
          <w:lang w:val="en-US"/>
        </w:rPr>
        <w:t>africanisation</w:t>
      </w:r>
      <w:r w:rsidR="008A71BB" w:rsidRPr="006B603F">
        <w:rPr>
          <w:rFonts w:ascii="Times New Roman" w:hAnsi="Times New Roman" w:cs="Times New Roman"/>
          <w:sz w:val="24"/>
          <w:szCs w:val="24"/>
          <w:lang w:val="en-US"/>
        </w:rPr>
        <w:t xml:space="preserve"> des églises missionnaires est bien avancée, avec son cortège de dynamiques et de questions. Certaines formes africaines de Christianisme, comme </w:t>
      </w:r>
      <w:r w:rsidR="00B55FFB" w:rsidRPr="006B603F">
        <w:rPr>
          <w:rFonts w:ascii="Times New Roman" w:hAnsi="Times New Roman" w:cs="Times New Roman"/>
          <w:sz w:val="24"/>
          <w:szCs w:val="24"/>
          <w:lang w:val="en-US"/>
        </w:rPr>
        <w:t xml:space="preserve">les </w:t>
      </w:r>
      <w:r w:rsidR="008A71BB" w:rsidRPr="006B603F">
        <w:rPr>
          <w:rFonts w:ascii="Times New Roman" w:hAnsi="Times New Roman" w:cs="Times New Roman"/>
          <w:sz w:val="24"/>
          <w:szCs w:val="24"/>
          <w:lang w:val="en-US"/>
        </w:rPr>
        <w:t>Eglises indépendantes, sont encore minoritaires dans la région, et leur introduction sur la scène religieuse pe</w:t>
      </w:r>
      <w:r w:rsidR="00B67A79" w:rsidRPr="006B603F">
        <w:rPr>
          <w:rFonts w:ascii="Times New Roman" w:hAnsi="Times New Roman" w:cs="Times New Roman"/>
          <w:sz w:val="24"/>
          <w:szCs w:val="24"/>
          <w:lang w:val="en-US"/>
        </w:rPr>
        <w:t>ut s'</w:t>
      </w:r>
      <w:r w:rsidR="008A71BB" w:rsidRPr="006B603F">
        <w:rPr>
          <w:rFonts w:ascii="Times New Roman" w:hAnsi="Times New Roman" w:cs="Times New Roman"/>
          <w:sz w:val="24"/>
          <w:szCs w:val="24"/>
          <w:lang w:val="en-US"/>
        </w:rPr>
        <w:t>observer. Des contributions sur l'histoire des missions, et des descriptions d'Eglises africaines, indépendantes ou non, sont donc les bienvenues.</w:t>
      </w:r>
    </w:p>
    <w:p w14:paraId="1A35C7F3" w14:textId="77777777" w:rsidR="008A71BB" w:rsidRPr="006B603F" w:rsidRDefault="008A71BB" w:rsidP="00FF72FB">
      <w:pPr>
        <w:pStyle w:val="Paragraphedeliste"/>
        <w:numPr>
          <w:ilvl w:val="0"/>
          <w:numId w:val="1"/>
        </w:numPr>
        <w:jc w:val="both"/>
        <w:rPr>
          <w:rFonts w:ascii="Times New Roman" w:hAnsi="Times New Roman" w:cs="Times New Roman"/>
          <w:b/>
          <w:sz w:val="24"/>
          <w:szCs w:val="24"/>
          <w:lang w:val="en-US"/>
        </w:rPr>
      </w:pPr>
      <w:r w:rsidRPr="006B603F">
        <w:rPr>
          <w:rFonts w:ascii="Times New Roman" w:hAnsi="Times New Roman" w:cs="Times New Roman"/>
          <w:b/>
          <w:sz w:val="24"/>
          <w:szCs w:val="24"/>
          <w:lang w:val="en-US"/>
        </w:rPr>
        <w:t>La divination, l'i</w:t>
      </w:r>
      <w:r w:rsidR="00FF72FB" w:rsidRPr="006B603F">
        <w:rPr>
          <w:rFonts w:ascii="Times New Roman" w:hAnsi="Times New Roman" w:cs="Times New Roman"/>
          <w:b/>
          <w:sz w:val="24"/>
          <w:szCs w:val="24"/>
          <w:lang w:val="en-US"/>
        </w:rPr>
        <w:t>nterpr</w:t>
      </w:r>
      <w:r w:rsidRPr="006B603F">
        <w:rPr>
          <w:rFonts w:ascii="Times New Roman" w:hAnsi="Times New Roman" w:cs="Times New Roman"/>
          <w:b/>
          <w:sz w:val="24"/>
          <w:szCs w:val="24"/>
          <w:lang w:val="en-US"/>
        </w:rPr>
        <w:t>étation du malheur et la guérison</w:t>
      </w:r>
    </w:p>
    <w:p w14:paraId="6AF3B7B0" w14:textId="684F33B5" w:rsidR="00FF72FB" w:rsidRPr="006B603F" w:rsidRDefault="00B67A79" w:rsidP="00FF72FB">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 xml:space="preserve">A la vie religieuse s'attache aussi </w:t>
      </w:r>
      <w:r w:rsidRPr="006B603F">
        <w:rPr>
          <w:rFonts w:ascii="Times New Roman" w:hAnsi="Times New Roman" w:cs="Times New Roman"/>
          <w:b/>
          <w:sz w:val="24"/>
          <w:szCs w:val="24"/>
          <w:lang w:val="en-US"/>
        </w:rPr>
        <w:t xml:space="preserve">la </w:t>
      </w:r>
      <w:r w:rsidR="008A71BB" w:rsidRPr="006B603F">
        <w:rPr>
          <w:rFonts w:ascii="Times New Roman" w:hAnsi="Times New Roman" w:cs="Times New Roman"/>
          <w:b/>
          <w:sz w:val="24"/>
          <w:szCs w:val="24"/>
          <w:lang w:val="en-US"/>
        </w:rPr>
        <w:t>divination</w:t>
      </w:r>
      <w:r w:rsidRPr="006B603F">
        <w:rPr>
          <w:rFonts w:ascii="Times New Roman" w:hAnsi="Times New Roman" w:cs="Times New Roman"/>
          <w:b/>
          <w:sz w:val="24"/>
          <w:szCs w:val="24"/>
          <w:lang w:val="en-US"/>
        </w:rPr>
        <w:t>,</w:t>
      </w:r>
      <w:r w:rsidR="008A71BB" w:rsidRPr="006B603F">
        <w:rPr>
          <w:rFonts w:ascii="Times New Roman" w:hAnsi="Times New Roman" w:cs="Times New Roman"/>
          <w:sz w:val="24"/>
          <w:szCs w:val="24"/>
          <w:lang w:val="en-US"/>
        </w:rPr>
        <w:t xml:space="preserve"> </w:t>
      </w:r>
      <w:r w:rsidRPr="006B603F">
        <w:rPr>
          <w:rFonts w:ascii="Times New Roman" w:hAnsi="Times New Roman" w:cs="Times New Roman"/>
          <w:b/>
          <w:sz w:val="24"/>
          <w:szCs w:val="24"/>
          <w:lang w:val="en-US"/>
        </w:rPr>
        <w:t>l'</w:t>
      </w:r>
      <w:r w:rsidR="008A71BB" w:rsidRPr="006B603F">
        <w:rPr>
          <w:rFonts w:ascii="Times New Roman" w:hAnsi="Times New Roman" w:cs="Times New Roman"/>
          <w:b/>
          <w:sz w:val="24"/>
          <w:szCs w:val="24"/>
          <w:lang w:val="en-US"/>
        </w:rPr>
        <w:t>interprétation du malheur</w:t>
      </w:r>
      <w:r w:rsidR="008A71BB" w:rsidRPr="006B603F">
        <w:rPr>
          <w:rFonts w:ascii="Times New Roman" w:hAnsi="Times New Roman" w:cs="Times New Roman"/>
          <w:sz w:val="24"/>
          <w:szCs w:val="24"/>
          <w:lang w:val="en-US"/>
        </w:rPr>
        <w:t xml:space="preserve">, </w:t>
      </w:r>
      <w:r w:rsidRPr="006B603F">
        <w:rPr>
          <w:rFonts w:ascii="Times New Roman" w:hAnsi="Times New Roman" w:cs="Times New Roman"/>
          <w:sz w:val="24"/>
          <w:szCs w:val="24"/>
          <w:lang w:val="en-US"/>
        </w:rPr>
        <w:t xml:space="preserve">et </w:t>
      </w:r>
      <w:r w:rsidRPr="006B603F">
        <w:rPr>
          <w:rFonts w:ascii="Times New Roman" w:hAnsi="Times New Roman" w:cs="Times New Roman"/>
          <w:b/>
          <w:sz w:val="24"/>
          <w:szCs w:val="24"/>
          <w:lang w:val="en-US"/>
        </w:rPr>
        <w:t>des</w:t>
      </w:r>
      <w:r w:rsidR="008A71BB" w:rsidRPr="006B603F">
        <w:rPr>
          <w:rFonts w:ascii="Times New Roman" w:hAnsi="Times New Roman" w:cs="Times New Roman"/>
          <w:sz w:val="24"/>
          <w:szCs w:val="24"/>
          <w:lang w:val="en-US"/>
        </w:rPr>
        <w:t xml:space="preserve"> </w:t>
      </w:r>
      <w:r w:rsidR="008A71BB" w:rsidRPr="006B603F">
        <w:rPr>
          <w:rFonts w:ascii="Times New Roman" w:hAnsi="Times New Roman" w:cs="Times New Roman"/>
          <w:b/>
          <w:sz w:val="24"/>
          <w:szCs w:val="24"/>
          <w:lang w:val="en-US"/>
        </w:rPr>
        <w:t>modes de</w:t>
      </w:r>
      <w:r w:rsidR="008A71BB" w:rsidRPr="006B603F">
        <w:rPr>
          <w:rFonts w:ascii="Times New Roman" w:hAnsi="Times New Roman" w:cs="Times New Roman"/>
          <w:sz w:val="24"/>
          <w:szCs w:val="24"/>
          <w:lang w:val="en-US"/>
        </w:rPr>
        <w:t xml:space="preserve"> </w:t>
      </w:r>
      <w:r w:rsidR="008A71BB" w:rsidRPr="006B603F">
        <w:rPr>
          <w:rFonts w:ascii="Times New Roman" w:hAnsi="Times New Roman" w:cs="Times New Roman"/>
          <w:b/>
          <w:sz w:val="24"/>
          <w:szCs w:val="24"/>
          <w:lang w:val="en-US"/>
        </w:rPr>
        <w:t>guérison</w:t>
      </w:r>
      <w:r w:rsidR="008A71BB" w:rsidRPr="006B603F">
        <w:rPr>
          <w:rFonts w:ascii="Times New Roman" w:hAnsi="Times New Roman" w:cs="Times New Roman"/>
          <w:sz w:val="24"/>
          <w:szCs w:val="24"/>
          <w:lang w:val="en-US"/>
        </w:rPr>
        <w:t xml:space="preserve">, surtout en Afrique. Des études </w:t>
      </w:r>
      <w:r w:rsidRPr="006B603F">
        <w:rPr>
          <w:rFonts w:ascii="Times New Roman" w:hAnsi="Times New Roman" w:cs="Times New Roman"/>
          <w:sz w:val="24"/>
          <w:szCs w:val="24"/>
          <w:lang w:val="en-US"/>
        </w:rPr>
        <w:t>centrées</w:t>
      </w:r>
      <w:r w:rsidR="008A71BB" w:rsidRPr="006B603F">
        <w:rPr>
          <w:rFonts w:ascii="Times New Roman" w:hAnsi="Times New Roman" w:cs="Times New Roman"/>
          <w:sz w:val="24"/>
          <w:szCs w:val="24"/>
          <w:lang w:val="en-US"/>
        </w:rPr>
        <w:t xml:space="preserve"> sur ces aspects, dans l'une ou l'autre des trois catégories de religion précédentes, sont </w:t>
      </w:r>
      <w:r w:rsidRPr="006B603F">
        <w:rPr>
          <w:rFonts w:ascii="Times New Roman" w:hAnsi="Times New Roman" w:cs="Times New Roman"/>
          <w:sz w:val="24"/>
          <w:szCs w:val="24"/>
          <w:lang w:val="en-US"/>
        </w:rPr>
        <w:t>attendues. La guérison soigne diver</w:t>
      </w:r>
      <w:r w:rsidR="008A71BB" w:rsidRPr="006B603F">
        <w:rPr>
          <w:rFonts w:ascii="Times New Roman" w:hAnsi="Times New Roman" w:cs="Times New Roman"/>
          <w:sz w:val="24"/>
          <w:szCs w:val="24"/>
          <w:lang w:val="en-US"/>
        </w:rPr>
        <w:t>s maux</w:t>
      </w:r>
      <w:r w:rsidR="00EF44B8" w:rsidRPr="006B603F">
        <w:rPr>
          <w:rFonts w:ascii="Times New Roman" w:hAnsi="Times New Roman" w:cs="Times New Roman"/>
          <w:sz w:val="24"/>
          <w:szCs w:val="24"/>
          <w:lang w:val="en-US"/>
        </w:rPr>
        <w:t xml:space="preserve">, et ce domaine peut comporter des aspects métaphysiques, tels que des </w:t>
      </w:r>
      <w:r w:rsidR="00FF72FB" w:rsidRPr="006B603F">
        <w:rPr>
          <w:rFonts w:ascii="Times New Roman" w:hAnsi="Times New Roman" w:cs="Times New Roman"/>
          <w:sz w:val="24"/>
          <w:szCs w:val="24"/>
          <w:lang w:val="en-US"/>
        </w:rPr>
        <w:t xml:space="preserve">accusations </w:t>
      </w:r>
      <w:r w:rsidR="00EF44B8" w:rsidRPr="006B603F">
        <w:rPr>
          <w:rFonts w:ascii="Times New Roman" w:hAnsi="Times New Roman" w:cs="Times New Roman"/>
          <w:sz w:val="24"/>
          <w:szCs w:val="24"/>
          <w:lang w:val="en-US"/>
        </w:rPr>
        <w:t xml:space="preserve">de </w:t>
      </w:r>
      <w:r w:rsidR="00EF44B8" w:rsidRPr="006B603F">
        <w:rPr>
          <w:rFonts w:ascii="Times New Roman" w:hAnsi="Times New Roman" w:cs="Times New Roman"/>
          <w:b/>
          <w:sz w:val="24"/>
          <w:szCs w:val="24"/>
          <w:lang w:val="en-US"/>
        </w:rPr>
        <w:t>sorcellerie</w:t>
      </w:r>
      <w:r w:rsidR="00EF44B8" w:rsidRPr="006B603F">
        <w:rPr>
          <w:rFonts w:ascii="Times New Roman" w:hAnsi="Times New Roman" w:cs="Times New Roman"/>
          <w:sz w:val="24"/>
          <w:szCs w:val="24"/>
          <w:lang w:val="en-US"/>
        </w:rPr>
        <w:t xml:space="preserve">, des phénomènes de </w:t>
      </w:r>
      <w:r w:rsidR="00FF72FB" w:rsidRPr="006B603F">
        <w:rPr>
          <w:rFonts w:ascii="Times New Roman" w:hAnsi="Times New Roman" w:cs="Times New Roman"/>
          <w:b/>
          <w:sz w:val="24"/>
          <w:szCs w:val="24"/>
          <w:lang w:val="en-US"/>
        </w:rPr>
        <w:t>possession</w:t>
      </w:r>
      <w:r w:rsidR="00FF72FB" w:rsidRPr="006B603F">
        <w:rPr>
          <w:rFonts w:ascii="Times New Roman" w:hAnsi="Times New Roman" w:cs="Times New Roman"/>
          <w:sz w:val="24"/>
          <w:szCs w:val="24"/>
          <w:lang w:val="en-US"/>
        </w:rPr>
        <w:t xml:space="preserve">, </w:t>
      </w:r>
      <w:r w:rsidR="00EF44B8" w:rsidRPr="006B603F">
        <w:rPr>
          <w:rFonts w:ascii="Times New Roman" w:hAnsi="Times New Roman" w:cs="Times New Roman"/>
          <w:sz w:val="24"/>
          <w:szCs w:val="24"/>
          <w:lang w:val="en-US"/>
        </w:rPr>
        <w:t xml:space="preserve">ou autres éléments dits </w:t>
      </w:r>
      <w:r w:rsidR="00FF72FB" w:rsidRPr="006B603F">
        <w:rPr>
          <w:rFonts w:ascii="Times New Roman" w:hAnsi="Times New Roman" w:cs="Times New Roman"/>
          <w:sz w:val="24"/>
          <w:szCs w:val="24"/>
          <w:lang w:val="en-US"/>
        </w:rPr>
        <w:t>‘occult</w:t>
      </w:r>
      <w:r w:rsidR="00EF44B8" w:rsidRPr="006B603F">
        <w:rPr>
          <w:rFonts w:ascii="Times New Roman" w:hAnsi="Times New Roman" w:cs="Times New Roman"/>
          <w:sz w:val="24"/>
          <w:szCs w:val="24"/>
          <w:lang w:val="en-US"/>
        </w:rPr>
        <w:t>es</w:t>
      </w:r>
      <w:r w:rsidR="00FF72FB" w:rsidRPr="006B603F">
        <w:rPr>
          <w:rFonts w:ascii="Times New Roman" w:hAnsi="Times New Roman" w:cs="Times New Roman"/>
          <w:sz w:val="24"/>
          <w:szCs w:val="24"/>
          <w:lang w:val="en-US"/>
        </w:rPr>
        <w:t xml:space="preserve">’. </w:t>
      </w:r>
    </w:p>
    <w:p w14:paraId="7DC2CDFE" w14:textId="0A9F52F0" w:rsidR="00EF44B8" w:rsidRPr="006B603F" w:rsidRDefault="00B67A79" w:rsidP="00FF72FB">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 xml:space="preserve">Rappelons enfin que la plurisdisciplinarité du </w:t>
      </w:r>
      <w:r w:rsidR="00EF44B8" w:rsidRPr="006B603F">
        <w:rPr>
          <w:rFonts w:ascii="Times New Roman" w:hAnsi="Times New Roman" w:cs="Times New Roman"/>
          <w:sz w:val="24"/>
          <w:szCs w:val="24"/>
          <w:lang w:val="en-US"/>
        </w:rPr>
        <w:t>réseau Méga-Tc</w:t>
      </w:r>
      <w:r w:rsidR="00FF72FB" w:rsidRPr="006B603F">
        <w:rPr>
          <w:rFonts w:ascii="Times New Roman" w:hAnsi="Times New Roman" w:cs="Times New Roman"/>
          <w:sz w:val="24"/>
          <w:szCs w:val="24"/>
          <w:lang w:val="en-US"/>
        </w:rPr>
        <w:t xml:space="preserve">had </w:t>
      </w:r>
      <w:r w:rsidRPr="006B603F">
        <w:rPr>
          <w:rFonts w:ascii="Times New Roman" w:hAnsi="Times New Roman" w:cs="Times New Roman"/>
          <w:sz w:val="24"/>
          <w:szCs w:val="24"/>
          <w:lang w:val="en-US"/>
        </w:rPr>
        <w:t xml:space="preserve">interdit un usage abusif de </w:t>
      </w:r>
      <w:r w:rsidR="00EF44B8" w:rsidRPr="006B603F">
        <w:rPr>
          <w:rFonts w:ascii="Times New Roman" w:hAnsi="Times New Roman" w:cs="Times New Roman"/>
          <w:sz w:val="24"/>
          <w:szCs w:val="24"/>
          <w:lang w:val="en-US"/>
        </w:rPr>
        <w:t>jargon scientifique</w:t>
      </w:r>
      <w:r w:rsidRPr="006B603F">
        <w:rPr>
          <w:rFonts w:ascii="Times New Roman" w:hAnsi="Times New Roman" w:cs="Times New Roman"/>
          <w:sz w:val="24"/>
          <w:szCs w:val="24"/>
          <w:lang w:val="en-US"/>
        </w:rPr>
        <w:t>. Il importe que t</w:t>
      </w:r>
      <w:r w:rsidR="00EF44B8" w:rsidRPr="006B603F">
        <w:rPr>
          <w:rFonts w:ascii="Times New Roman" w:hAnsi="Times New Roman" w:cs="Times New Roman"/>
          <w:sz w:val="24"/>
          <w:szCs w:val="24"/>
          <w:lang w:val="en-US"/>
        </w:rPr>
        <w:t xml:space="preserve">outes les contributions </w:t>
      </w:r>
      <w:r w:rsidRPr="006B603F">
        <w:rPr>
          <w:rFonts w:ascii="Times New Roman" w:hAnsi="Times New Roman" w:cs="Times New Roman"/>
          <w:sz w:val="24"/>
          <w:szCs w:val="24"/>
          <w:lang w:val="en-US"/>
        </w:rPr>
        <w:t>soient</w:t>
      </w:r>
      <w:r w:rsidR="00EF44B8" w:rsidRPr="006B603F">
        <w:rPr>
          <w:rFonts w:ascii="Times New Roman" w:hAnsi="Times New Roman" w:cs="Times New Roman"/>
          <w:sz w:val="24"/>
          <w:szCs w:val="24"/>
          <w:lang w:val="en-US"/>
        </w:rPr>
        <w:t xml:space="preserve"> aisément compréhensibles pour tout chercheur en sciences sociales, quelle que soit sa discipline.</w:t>
      </w:r>
    </w:p>
    <w:p w14:paraId="3CC037BF" w14:textId="77777777" w:rsidR="00FF72FB" w:rsidRPr="006B603F" w:rsidRDefault="00FF72FB" w:rsidP="00FF72FB">
      <w:pPr>
        <w:jc w:val="both"/>
        <w:rPr>
          <w:rFonts w:ascii="Times New Roman" w:hAnsi="Times New Roman" w:cs="Times New Roman"/>
          <w:sz w:val="24"/>
          <w:szCs w:val="24"/>
          <w:lang w:val="en-US"/>
        </w:rPr>
      </w:pPr>
    </w:p>
    <w:p w14:paraId="35276637" w14:textId="77777777" w:rsidR="00FF72FB" w:rsidRPr="006B603F" w:rsidRDefault="00FF72FB" w:rsidP="00FF72FB">
      <w:pPr>
        <w:jc w:val="both"/>
        <w:rPr>
          <w:rFonts w:ascii="Times New Roman" w:hAnsi="Times New Roman" w:cs="Times New Roman"/>
          <w:sz w:val="24"/>
          <w:szCs w:val="24"/>
          <w:lang w:val="en-US"/>
        </w:rPr>
      </w:pPr>
      <w:r w:rsidRPr="006B603F">
        <w:rPr>
          <w:rFonts w:ascii="Times New Roman" w:hAnsi="Times New Roman" w:cs="Times New Roman"/>
          <w:sz w:val="24"/>
          <w:szCs w:val="24"/>
          <w:lang w:val="en-US"/>
        </w:rPr>
        <w:t>------------------</w:t>
      </w:r>
    </w:p>
    <w:p w14:paraId="43891EED" w14:textId="77777777" w:rsidR="00FF72FB" w:rsidRPr="006B603F" w:rsidRDefault="00FF72FB" w:rsidP="00FF72FB">
      <w:pPr>
        <w:jc w:val="both"/>
        <w:rPr>
          <w:rFonts w:ascii="Times New Roman" w:hAnsi="Times New Roman" w:cs="Times New Roman"/>
          <w:sz w:val="24"/>
          <w:szCs w:val="24"/>
          <w:lang w:val="en-US"/>
        </w:rPr>
      </w:pPr>
    </w:p>
    <w:p w14:paraId="7E7446DB" w14:textId="77777777" w:rsidR="00FF72FB" w:rsidRPr="006B603F" w:rsidRDefault="00FF72FB" w:rsidP="00FF72FB">
      <w:pPr>
        <w:spacing w:after="0" w:line="240" w:lineRule="auto"/>
        <w:rPr>
          <w:rFonts w:ascii="Times New Roman" w:hAnsi="Times New Roman" w:cs="Times New Roman"/>
          <w:sz w:val="24"/>
          <w:szCs w:val="24"/>
        </w:rPr>
      </w:pPr>
      <w:r w:rsidRPr="006B603F">
        <w:rPr>
          <w:rFonts w:ascii="Times New Roman" w:hAnsi="Times New Roman" w:cs="Times New Roman"/>
          <w:sz w:val="24"/>
          <w:szCs w:val="24"/>
        </w:rPr>
        <w:t xml:space="preserve">Date </w:t>
      </w:r>
      <w:r w:rsidR="00B005AB" w:rsidRPr="006B603F">
        <w:rPr>
          <w:rFonts w:ascii="Times New Roman" w:hAnsi="Times New Roman" w:cs="Times New Roman"/>
          <w:sz w:val="24"/>
          <w:szCs w:val="24"/>
        </w:rPr>
        <w:t>de remise des</w:t>
      </w:r>
      <w:r w:rsidRPr="006B603F">
        <w:rPr>
          <w:rFonts w:ascii="Times New Roman" w:hAnsi="Times New Roman" w:cs="Times New Roman"/>
          <w:sz w:val="24"/>
          <w:szCs w:val="24"/>
        </w:rPr>
        <w:t xml:space="preserve"> résumé</w:t>
      </w:r>
      <w:r w:rsidR="00B005AB" w:rsidRPr="006B603F">
        <w:rPr>
          <w:rFonts w:ascii="Times New Roman" w:hAnsi="Times New Roman" w:cs="Times New Roman"/>
          <w:sz w:val="24"/>
          <w:szCs w:val="24"/>
        </w:rPr>
        <w:t>s</w:t>
      </w:r>
      <w:r w:rsidRPr="006B603F">
        <w:rPr>
          <w:rFonts w:ascii="Times New Roman" w:hAnsi="Times New Roman" w:cs="Times New Roman"/>
          <w:sz w:val="24"/>
          <w:szCs w:val="24"/>
        </w:rPr>
        <w:t xml:space="preserve"> (maximum 1 page) : 30 janvier 2014</w:t>
      </w:r>
    </w:p>
    <w:p w14:paraId="4DCF3AD1" w14:textId="6E1E832E" w:rsidR="00FF72FB" w:rsidRPr="006B603F" w:rsidRDefault="00B005AB" w:rsidP="00FF72FB">
      <w:pPr>
        <w:spacing w:after="0" w:line="240" w:lineRule="auto"/>
        <w:rPr>
          <w:rFonts w:ascii="Times New Roman" w:hAnsi="Times New Roman" w:cs="Times New Roman"/>
          <w:sz w:val="24"/>
          <w:szCs w:val="24"/>
        </w:rPr>
      </w:pPr>
      <w:r w:rsidRPr="006B603F">
        <w:rPr>
          <w:rFonts w:ascii="Times New Roman" w:hAnsi="Times New Roman" w:cs="Times New Roman"/>
          <w:sz w:val="24"/>
          <w:szCs w:val="24"/>
        </w:rPr>
        <w:t xml:space="preserve">Date de remise des </w:t>
      </w:r>
      <w:r w:rsidR="00FF72FB" w:rsidRPr="006B603F">
        <w:rPr>
          <w:rFonts w:ascii="Times New Roman" w:hAnsi="Times New Roman" w:cs="Times New Roman"/>
          <w:sz w:val="24"/>
          <w:szCs w:val="24"/>
        </w:rPr>
        <w:t>texte</w:t>
      </w:r>
      <w:r w:rsidRPr="006B603F">
        <w:rPr>
          <w:rFonts w:ascii="Times New Roman" w:hAnsi="Times New Roman" w:cs="Times New Roman"/>
          <w:sz w:val="24"/>
          <w:szCs w:val="24"/>
        </w:rPr>
        <w:t>s</w:t>
      </w:r>
      <w:r w:rsidR="00FF72FB" w:rsidRPr="006B603F">
        <w:rPr>
          <w:rFonts w:ascii="Times New Roman" w:hAnsi="Times New Roman" w:cs="Times New Roman"/>
          <w:sz w:val="24"/>
          <w:szCs w:val="24"/>
        </w:rPr>
        <w:t xml:space="preserve"> (maximum 30 000 signes) : 30 juin 2014</w:t>
      </w:r>
    </w:p>
    <w:p w14:paraId="2AA28752" w14:textId="77777777" w:rsidR="006C7141" w:rsidRPr="006B603F" w:rsidRDefault="006C7141" w:rsidP="00FF72FB">
      <w:pPr>
        <w:spacing w:after="0" w:line="240" w:lineRule="auto"/>
        <w:rPr>
          <w:rFonts w:ascii="Times New Roman" w:hAnsi="Times New Roman" w:cs="Times New Roman"/>
          <w:sz w:val="24"/>
          <w:szCs w:val="24"/>
        </w:rPr>
      </w:pPr>
    </w:p>
    <w:p w14:paraId="358838FB" w14:textId="77777777" w:rsidR="00B55FFB" w:rsidRPr="006B603F" w:rsidRDefault="00B005AB" w:rsidP="00FF72FB">
      <w:pPr>
        <w:spacing w:after="0" w:line="240" w:lineRule="auto"/>
        <w:rPr>
          <w:sz w:val="24"/>
          <w:szCs w:val="24"/>
        </w:rPr>
      </w:pPr>
      <w:r w:rsidRPr="006B603F">
        <w:rPr>
          <w:rFonts w:ascii="Times New Roman" w:hAnsi="Times New Roman" w:cs="Times New Roman"/>
          <w:sz w:val="24"/>
          <w:szCs w:val="24"/>
        </w:rPr>
        <w:t xml:space="preserve">Les propositions seront envoyées à </w:t>
      </w:r>
      <w:r w:rsidR="00FF72FB" w:rsidRPr="006B603F">
        <w:rPr>
          <w:rFonts w:ascii="Times New Roman" w:hAnsi="Times New Roman" w:cs="Times New Roman"/>
          <w:sz w:val="24"/>
          <w:szCs w:val="24"/>
        </w:rPr>
        <w:t>:</w:t>
      </w:r>
      <w:r w:rsidR="00FF72FB" w:rsidRPr="006B603F">
        <w:rPr>
          <w:sz w:val="24"/>
          <w:szCs w:val="24"/>
        </w:rPr>
        <w:t xml:space="preserve"> </w:t>
      </w:r>
    </w:p>
    <w:p w14:paraId="57623881" w14:textId="77777777" w:rsidR="00B55FFB" w:rsidRPr="006B603F" w:rsidRDefault="00B55FFB" w:rsidP="00FF72FB">
      <w:pPr>
        <w:spacing w:after="0" w:line="240" w:lineRule="auto"/>
        <w:rPr>
          <w:sz w:val="24"/>
          <w:szCs w:val="24"/>
        </w:rPr>
      </w:pPr>
    </w:p>
    <w:p w14:paraId="745C3E37" w14:textId="14D65135" w:rsidR="007D497D" w:rsidRPr="006B603F" w:rsidRDefault="00FF72FB" w:rsidP="006B603F">
      <w:pPr>
        <w:spacing w:after="0" w:line="240" w:lineRule="auto"/>
        <w:rPr>
          <w:rFonts w:ascii="Times New Roman" w:hAnsi="Times New Roman" w:cs="Times New Roman"/>
          <w:sz w:val="24"/>
          <w:szCs w:val="24"/>
        </w:rPr>
      </w:pPr>
      <w:r w:rsidRPr="006B603F">
        <w:rPr>
          <w:rFonts w:ascii="Times New Roman" w:hAnsi="Times New Roman" w:cs="Times New Roman"/>
          <w:sz w:val="24"/>
          <w:szCs w:val="24"/>
        </w:rPr>
        <w:t>woutervanbeek@hetnet.nl</w:t>
      </w:r>
      <w:bookmarkStart w:id="0" w:name="_GoBack"/>
      <w:bookmarkEnd w:id="0"/>
    </w:p>
    <w:sectPr w:rsidR="007D497D" w:rsidRPr="006B603F" w:rsidSect="006B603F">
      <w:footerReference w:type="even" r:id="rId8"/>
      <w:footerReference w:type="default" r:id="rId9"/>
      <w:pgSz w:w="11900" w:h="16840"/>
      <w:pgMar w:top="1418" w:right="1418"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0A9CC" w14:textId="77777777" w:rsidR="008A71BB" w:rsidRDefault="008A71BB" w:rsidP="00FF72FB">
      <w:pPr>
        <w:spacing w:after="0" w:line="240" w:lineRule="auto"/>
      </w:pPr>
      <w:r>
        <w:separator/>
      </w:r>
    </w:p>
  </w:endnote>
  <w:endnote w:type="continuationSeparator" w:id="0">
    <w:p w14:paraId="51CE9626" w14:textId="77777777" w:rsidR="008A71BB" w:rsidRDefault="008A71BB" w:rsidP="00FF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BC90" w14:textId="77777777" w:rsidR="00B55FFB" w:rsidRDefault="00B55FFB" w:rsidP="0017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051DF13" w14:textId="77777777" w:rsidR="00B55FFB" w:rsidRDefault="00B55FFB" w:rsidP="00B55FF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78E8B" w14:textId="77777777" w:rsidR="00B55FFB" w:rsidRDefault="00B55FFB" w:rsidP="0017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B603F">
      <w:rPr>
        <w:rStyle w:val="Numrodepage"/>
        <w:noProof/>
      </w:rPr>
      <w:t>1</w:t>
    </w:r>
    <w:r>
      <w:rPr>
        <w:rStyle w:val="Numrodepage"/>
      </w:rPr>
      <w:fldChar w:fldCharType="end"/>
    </w:r>
  </w:p>
  <w:p w14:paraId="65BEE8D8" w14:textId="77777777" w:rsidR="00B55FFB" w:rsidRDefault="00B55FFB" w:rsidP="00B55FFB">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BBD98" w14:textId="77777777" w:rsidR="008A71BB" w:rsidRDefault="008A71BB" w:rsidP="00FF72FB">
      <w:pPr>
        <w:spacing w:after="0" w:line="240" w:lineRule="auto"/>
      </w:pPr>
      <w:r>
        <w:separator/>
      </w:r>
    </w:p>
  </w:footnote>
  <w:footnote w:type="continuationSeparator" w:id="0">
    <w:p w14:paraId="2087C245" w14:textId="77777777" w:rsidR="008A71BB" w:rsidRDefault="008A71BB" w:rsidP="00FF72FB">
      <w:pPr>
        <w:spacing w:after="0" w:line="240" w:lineRule="auto"/>
      </w:pPr>
      <w:r>
        <w:continuationSeparator/>
      </w:r>
    </w:p>
  </w:footnote>
  <w:footnote w:id="1">
    <w:p w14:paraId="282CA397" w14:textId="77777777" w:rsidR="008A71BB" w:rsidRPr="0023650F" w:rsidRDefault="008A71BB" w:rsidP="00FF72FB">
      <w:pPr>
        <w:pStyle w:val="Notedebasdepage"/>
        <w:rPr>
          <w:rFonts w:ascii="Times New Roman" w:hAnsi="Times New Roman"/>
          <w:i/>
          <w:lang w:val="fr-FR"/>
        </w:rPr>
      </w:pPr>
      <w:r w:rsidRPr="0023650F">
        <w:rPr>
          <w:rStyle w:val="Marquenotebasdepage"/>
          <w:rFonts w:ascii="Times New Roman" w:hAnsi="Times New Roman"/>
        </w:rPr>
        <w:footnoteRef/>
      </w:r>
      <w:r w:rsidRPr="0023650F">
        <w:rPr>
          <w:rFonts w:ascii="Times New Roman" w:hAnsi="Times New Roman"/>
          <w:lang w:val="fr-FR"/>
        </w:rPr>
        <w:t xml:space="preserve"> VINCENT, Jeannne-Françoise. 1997.“S</w:t>
      </w:r>
      <w:r>
        <w:rPr>
          <w:rFonts w:ascii="Times New Roman" w:hAnsi="Times New Roman"/>
          <w:lang w:val="fr-FR"/>
        </w:rPr>
        <w:t>tatut et puissance du ‘Dieu du C</w:t>
      </w:r>
      <w:r w:rsidRPr="0023650F">
        <w:rPr>
          <w:rFonts w:ascii="Times New Roman" w:hAnsi="Times New Roman"/>
          <w:lang w:val="fr-FR"/>
        </w:rPr>
        <w:t xml:space="preserve">iel’ en Afrique de sahel”. in : Albert de SURGY (ed.) </w:t>
      </w:r>
      <w:r w:rsidRPr="0023650F">
        <w:rPr>
          <w:rFonts w:ascii="Times New Roman" w:hAnsi="Times New Roman"/>
          <w:i/>
          <w:lang w:val="fr-FR"/>
        </w:rPr>
        <w:t>Religion et pratiques de puissance</w:t>
      </w:r>
      <w:r w:rsidRPr="0023650F">
        <w:rPr>
          <w:rFonts w:ascii="Times New Roman" w:hAnsi="Times New Roman"/>
          <w:lang w:val="fr-FR"/>
        </w:rPr>
        <w:t>. Paris : Harmattan, p. 227-238.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774EE"/>
    <w:multiLevelType w:val="hybridMultilevel"/>
    <w:tmpl w:val="109E0100"/>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7D"/>
    <w:rsid w:val="00187660"/>
    <w:rsid w:val="0023650F"/>
    <w:rsid w:val="006665BF"/>
    <w:rsid w:val="006B603F"/>
    <w:rsid w:val="006C7141"/>
    <w:rsid w:val="007D497D"/>
    <w:rsid w:val="008316B8"/>
    <w:rsid w:val="008A71BB"/>
    <w:rsid w:val="008B0321"/>
    <w:rsid w:val="00950E37"/>
    <w:rsid w:val="00B005AB"/>
    <w:rsid w:val="00B46F5E"/>
    <w:rsid w:val="00B52A49"/>
    <w:rsid w:val="00B55FFB"/>
    <w:rsid w:val="00B67A79"/>
    <w:rsid w:val="00C565A8"/>
    <w:rsid w:val="00CA1016"/>
    <w:rsid w:val="00D56462"/>
    <w:rsid w:val="00EF44B8"/>
    <w:rsid w:val="00F430F9"/>
    <w:rsid w:val="00FF72F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DCB4E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7D"/>
    <w:pPr>
      <w:spacing w:after="160" w:line="259" w:lineRule="auto"/>
    </w:pPr>
    <w:rPr>
      <w:rFonts w:asciiTheme="minorHAnsi" w:eastAsiaTheme="minorHAnsi" w:hAnsiTheme="minorHAnsi" w:cstheme="minorBidi"/>
      <w:sz w:val="22"/>
      <w:szCs w:val="22"/>
      <w:lang w:val="n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37376"/>
    <w:rPr>
      <w:rFonts w:ascii="Lucida Grande" w:hAnsi="Lucida Grande"/>
      <w:sz w:val="18"/>
      <w:szCs w:val="18"/>
    </w:rPr>
  </w:style>
  <w:style w:type="paragraph" w:styleId="Paragraphedeliste">
    <w:name w:val="List Paragraph"/>
    <w:basedOn w:val="Normal"/>
    <w:uiPriority w:val="34"/>
    <w:qFormat/>
    <w:rsid w:val="00FF72FB"/>
    <w:pPr>
      <w:ind w:left="720"/>
      <w:contextualSpacing/>
    </w:pPr>
  </w:style>
  <w:style w:type="paragraph" w:styleId="Notedebasdepage">
    <w:name w:val="footnote text"/>
    <w:basedOn w:val="Normal"/>
    <w:link w:val="NotedebasdepageCar"/>
    <w:uiPriority w:val="99"/>
    <w:semiHidden/>
    <w:unhideWhenUsed/>
    <w:rsid w:val="00FF72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72FB"/>
    <w:rPr>
      <w:rFonts w:asciiTheme="minorHAnsi" w:eastAsiaTheme="minorHAnsi" w:hAnsiTheme="minorHAnsi" w:cstheme="minorBidi"/>
      <w:lang w:val="nl-NL" w:eastAsia="en-US"/>
    </w:rPr>
  </w:style>
  <w:style w:type="character" w:styleId="Marquenotebasdepage">
    <w:name w:val="footnote reference"/>
    <w:basedOn w:val="Policepardfaut"/>
    <w:uiPriority w:val="99"/>
    <w:semiHidden/>
    <w:unhideWhenUsed/>
    <w:rsid w:val="00FF72FB"/>
    <w:rPr>
      <w:vertAlign w:val="superscript"/>
    </w:rPr>
  </w:style>
  <w:style w:type="paragraph" w:styleId="Pieddepage">
    <w:name w:val="footer"/>
    <w:basedOn w:val="Normal"/>
    <w:link w:val="PieddepageCar"/>
    <w:uiPriority w:val="99"/>
    <w:unhideWhenUsed/>
    <w:rsid w:val="00B55F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5FFB"/>
    <w:rPr>
      <w:rFonts w:asciiTheme="minorHAnsi" w:eastAsiaTheme="minorHAnsi" w:hAnsiTheme="minorHAnsi" w:cstheme="minorBidi"/>
      <w:sz w:val="22"/>
      <w:szCs w:val="22"/>
      <w:lang w:val="nl-NL" w:eastAsia="en-US"/>
    </w:rPr>
  </w:style>
  <w:style w:type="character" w:styleId="Numrodepage">
    <w:name w:val="page number"/>
    <w:basedOn w:val="Policepardfaut"/>
    <w:uiPriority w:val="99"/>
    <w:semiHidden/>
    <w:unhideWhenUsed/>
    <w:rsid w:val="00B55FFB"/>
  </w:style>
  <w:style w:type="paragraph" w:styleId="En-tte">
    <w:name w:val="header"/>
    <w:basedOn w:val="Normal"/>
    <w:link w:val="En-tteCar"/>
    <w:uiPriority w:val="99"/>
    <w:unhideWhenUsed/>
    <w:rsid w:val="00B55FFB"/>
    <w:pPr>
      <w:tabs>
        <w:tab w:val="center" w:pos="4536"/>
        <w:tab w:val="right" w:pos="9072"/>
      </w:tabs>
      <w:spacing w:after="0" w:line="240" w:lineRule="auto"/>
    </w:pPr>
  </w:style>
  <w:style w:type="character" w:customStyle="1" w:styleId="En-tteCar">
    <w:name w:val="En-tête Car"/>
    <w:basedOn w:val="Policepardfaut"/>
    <w:link w:val="En-tte"/>
    <w:uiPriority w:val="99"/>
    <w:rsid w:val="00B55FFB"/>
    <w:rPr>
      <w:rFonts w:asciiTheme="minorHAnsi" w:eastAsiaTheme="minorHAnsi" w:hAnsiTheme="minorHAnsi" w:cstheme="minorBidi"/>
      <w:sz w:val="22"/>
      <w:szCs w:val="22"/>
      <w:lang w:val="nl-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7D"/>
    <w:pPr>
      <w:spacing w:after="160" w:line="259" w:lineRule="auto"/>
    </w:pPr>
    <w:rPr>
      <w:rFonts w:asciiTheme="minorHAnsi" w:eastAsiaTheme="minorHAnsi" w:hAnsiTheme="minorHAnsi" w:cstheme="minorBidi"/>
      <w:sz w:val="22"/>
      <w:szCs w:val="22"/>
      <w:lang w:val="n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37376"/>
    <w:rPr>
      <w:rFonts w:ascii="Lucida Grande" w:hAnsi="Lucida Grande"/>
      <w:sz w:val="18"/>
      <w:szCs w:val="18"/>
    </w:rPr>
  </w:style>
  <w:style w:type="paragraph" w:styleId="Paragraphedeliste">
    <w:name w:val="List Paragraph"/>
    <w:basedOn w:val="Normal"/>
    <w:uiPriority w:val="34"/>
    <w:qFormat/>
    <w:rsid w:val="00FF72FB"/>
    <w:pPr>
      <w:ind w:left="720"/>
      <w:contextualSpacing/>
    </w:pPr>
  </w:style>
  <w:style w:type="paragraph" w:styleId="Notedebasdepage">
    <w:name w:val="footnote text"/>
    <w:basedOn w:val="Normal"/>
    <w:link w:val="NotedebasdepageCar"/>
    <w:uiPriority w:val="99"/>
    <w:semiHidden/>
    <w:unhideWhenUsed/>
    <w:rsid w:val="00FF72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72FB"/>
    <w:rPr>
      <w:rFonts w:asciiTheme="minorHAnsi" w:eastAsiaTheme="minorHAnsi" w:hAnsiTheme="minorHAnsi" w:cstheme="minorBidi"/>
      <w:lang w:val="nl-NL" w:eastAsia="en-US"/>
    </w:rPr>
  </w:style>
  <w:style w:type="character" w:styleId="Marquenotebasdepage">
    <w:name w:val="footnote reference"/>
    <w:basedOn w:val="Policepardfaut"/>
    <w:uiPriority w:val="99"/>
    <w:semiHidden/>
    <w:unhideWhenUsed/>
    <w:rsid w:val="00FF72FB"/>
    <w:rPr>
      <w:vertAlign w:val="superscript"/>
    </w:rPr>
  </w:style>
  <w:style w:type="paragraph" w:styleId="Pieddepage">
    <w:name w:val="footer"/>
    <w:basedOn w:val="Normal"/>
    <w:link w:val="PieddepageCar"/>
    <w:uiPriority w:val="99"/>
    <w:unhideWhenUsed/>
    <w:rsid w:val="00B55F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5FFB"/>
    <w:rPr>
      <w:rFonts w:asciiTheme="minorHAnsi" w:eastAsiaTheme="minorHAnsi" w:hAnsiTheme="minorHAnsi" w:cstheme="minorBidi"/>
      <w:sz w:val="22"/>
      <w:szCs w:val="22"/>
      <w:lang w:val="nl-NL" w:eastAsia="en-US"/>
    </w:rPr>
  </w:style>
  <w:style w:type="character" w:styleId="Numrodepage">
    <w:name w:val="page number"/>
    <w:basedOn w:val="Policepardfaut"/>
    <w:uiPriority w:val="99"/>
    <w:semiHidden/>
    <w:unhideWhenUsed/>
    <w:rsid w:val="00B55FFB"/>
  </w:style>
  <w:style w:type="paragraph" w:styleId="En-tte">
    <w:name w:val="header"/>
    <w:basedOn w:val="Normal"/>
    <w:link w:val="En-tteCar"/>
    <w:uiPriority w:val="99"/>
    <w:unhideWhenUsed/>
    <w:rsid w:val="00B55FFB"/>
    <w:pPr>
      <w:tabs>
        <w:tab w:val="center" w:pos="4536"/>
        <w:tab w:val="right" w:pos="9072"/>
      </w:tabs>
      <w:spacing w:after="0" w:line="240" w:lineRule="auto"/>
    </w:pPr>
  </w:style>
  <w:style w:type="character" w:customStyle="1" w:styleId="En-tteCar">
    <w:name w:val="En-tête Car"/>
    <w:basedOn w:val="Policepardfaut"/>
    <w:link w:val="En-tte"/>
    <w:uiPriority w:val="99"/>
    <w:rsid w:val="00B55FFB"/>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930</Words>
  <Characters>5117</Characters>
  <Application>Microsoft Macintosh Word</Application>
  <DocSecurity>0</DocSecurity>
  <Lines>42</Lines>
  <Paragraphs>12</Paragraphs>
  <ScaleCrop>false</ScaleCrop>
  <Company>CNRS</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UMR 7041 MAE</dc:creator>
  <cp:keywords/>
  <dc:description/>
  <cp:lastModifiedBy>UMR 7041 MAE</cp:lastModifiedBy>
  <cp:revision>8</cp:revision>
  <dcterms:created xsi:type="dcterms:W3CDTF">2013-12-04T12:27:00Z</dcterms:created>
  <dcterms:modified xsi:type="dcterms:W3CDTF">2013-12-06T10:40:00Z</dcterms:modified>
</cp:coreProperties>
</file>