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FFD3" w14:textId="28250577" w:rsidR="00E9263A" w:rsidRDefault="002724F1" w:rsidP="00E9263A">
      <w:pPr>
        <w:pBdr>
          <w:top w:val="single" w:sz="4" w:space="1" w:color="auto"/>
          <w:left w:val="single" w:sz="4" w:space="4" w:color="auto"/>
          <w:bottom w:val="single" w:sz="4" w:space="1" w:color="auto"/>
          <w:right w:val="single" w:sz="4" w:space="4" w:color="auto"/>
        </w:pBdr>
        <w:jc w:val="center"/>
        <w:rPr>
          <w:rStyle w:val="lev"/>
          <w:b w:val="0"/>
          <w:i/>
        </w:rPr>
      </w:pPr>
      <w:r>
        <w:rPr>
          <w:rStyle w:val="lev"/>
        </w:rPr>
        <w:t xml:space="preserve">L’or en Côte d’Ivoire : </w:t>
      </w:r>
      <w:r w:rsidR="0089758E">
        <w:rPr>
          <w:rStyle w:val="lev"/>
        </w:rPr>
        <w:t>Formalisation</w:t>
      </w:r>
      <w:r>
        <w:rPr>
          <w:rStyle w:val="lev"/>
        </w:rPr>
        <w:t xml:space="preserve">, territorialisation des rentes et </w:t>
      </w:r>
      <w:r w:rsidR="00AD71EC">
        <w:rPr>
          <w:rStyle w:val="lev"/>
        </w:rPr>
        <w:t>gouvernance locale</w:t>
      </w:r>
    </w:p>
    <w:p w14:paraId="5D70E62D" w14:textId="13002638" w:rsidR="00E9263A" w:rsidRPr="00E9263A" w:rsidRDefault="00E9263A" w:rsidP="00E9263A">
      <w:pPr>
        <w:pBdr>
          <w:top w:val="single" w:sz="4" w:space="1" w:color="auto"/>
          <w:left w:val="single" w:sz="4" w:space="4" w:color="auto"/>
          <w:bottom w:val="single" w:sz="4" w:space="1" w:color="auto"/>
          <w:right w:val="single" w:sz="4" w:space="4" w:color="auto"/>
        </w:pBdr>
        <w:jc w:val="center"/>
        <w:rPr>
          <w:b/>
          <w:i/>
        </w:rPr>
      </w:pPr>
      <w:r w:rsidRPr="00D97D2A">
        <w:rPr>
          <w:rStyle w:val="lev"/>
          <w:b w:val="0"/>
          <w:i/>
        </w:rPr>
        <w:t>Coordinateurs : CHAMPY Muriel, DESSERTINE Anna, DORY-CROS Hugo</w:t>
      </w:r>
    </w:p>
    <w:p w14:paraId="4D326BD3" w14:textId="77777777" w:rsidR="00E9263A" w:rsidRDefault="00E9263A" w:rsidP="000B12F4"/>
    <w:p w14:paraId="311B0AEB" w14:textId="150B6622" w:rsidR="00ED2A5C" w:rsidRDefault="00ED2A5C" w:rsidP="000B12F4">
      <w:r>
        <w:t xml:space="preserve">Ce numéro spécial du </w:t>
      </w:r>
      <w:r>
        <w:rPr>
          <w:rStyle w:val="Accentuation"/>
        </w:rPr>
        <w:t>Journal des Africanistes</w:t>
      </w:r>
      <w:r>
        <w:t xml:space="preserve"> propose d’explorer les effets sociaux du boom de l’exploitation aurifère en Côte d’Ivoire à travers ses ancrages </w:t>
      </w:r>
      <w:r w:rsidR="0089758E">
        <w:t>territoriaux</w:t>
      </w:r>
      <w:r>
        <w:t xml:space="preserve">, ses formes d’encadrement et ses effets sociaux. Si cet essor s’inscrit dans une tendance ouest-africaine plus large, il présente en Côte d’Ivoire des traits spécifiques liés à l’histoire agraire, aux modes d’accès à la terre et à la gouvernance du secteur extractif. </w:t>
      </w:r>
    </w:p>
    <w:p w14:paraId="31C96A54" w14:textId="4BF92C08" w:rsidR="00ED2A5C" w:rsidRPr="00ED2A5C" w:rsidRDefault="00ED2A5C" w:rsidP="000B12F4">
      <w:pPr>
        <w:rPr>
          <w:b/>
          <w:bCs/>
        </w:rPr>
      </w:pPr>
      <w:r>
        <w:rPr>
          <w:b/>
          <w:bCs/>
        </w:rPr>
        <w:t>Pourquoi un numéro sur l’or en Côte d’Ivoire ?</w:t>
      </w:r>
    </w:p>
    <w:p w14:paraId="41A5D7C2" w14:textId="446EB728" w:rsidR="00C82590" w:rsidRDefault="00ED2A5C" w:rsidP="000B12F4">
      <w:r>
        <w:t>Le nombre de publications portant sur l’extraction minière en Côte d’Ivoire est encore très faible, en comparaison d’autres pays de la sous-région comme le Ghana, le Burkina Faso, le Mali, la Guinée et le Sénégal. U</w:t>
      </w:r>
      <w:r w:rsidR="00E9135E">
        <w:t>n numéro spécifique à la Côte d’Ivoire permettrait de mettre en lumière</w:t>
      </w:r>
      <w:r>
        <w:t xml:space="preserve"> </w:t>
      </w:r>
      <w:r w:rsidR="00C82590">
        <w:t>l</w:t>
      </w:r>
      <w:r>
        <w:t>es spécificités</w:t>
      </w:r>
      <w:r w:rsidR="00C82590">
        <w:t xml:space="preserve"> liées à son histoire politique et agraire</w:t>
      </w:r>
      <w:r w:rsidR="00286F0B">
        <w:t>. P</w:t>
      </w:r>
      <w:r>
        <w:t>ar des publications portant sur différentes régions et différents contextes d’exploitation</w:t>
      </w:r>
      <w:r w:rsidR="00286F0B">
        <w:t xml:space="preserve">, il s’agit </w:t>
      </w:r>
      <w:r w:rsidR="00C82590">
        <w:t>d’adopter une approche comparative des dynamiques extractives</w:t>
      </w:r>
      <w:r w:rsidR="00286F0B">
        <w:t xml:space="preserve"> à l’échelle régionale</w:t>
      </w:r>
      <w:r w:rsidR="00EA3FF5">
        <w:t xml:space="preserve"> et locale</w:t>
      </w:r>
      <w:r w:rsidR="0089758E">
        <w:t xml:space="preserve">. </w:t>
      </w:r>
      <w:r w:rsidR="00C82590">
        <w:t xml:space="preserve">L’approche comparative développée </w:t>
      </w:r>
      <w:r w:rsidR="00286F0B">
        <w:t xml:space="preserve">ici </w:t>
      </w:r>
      <w:r w:rsidR="00C82590">
        <w:t xml:space="preserve">à l’échelle nationale </w:t>
      </w:r>
      <w:r w:rsidR="00DF7008">
        <w:t>constitue dès lors une façon originale de repenser la pertinence le comparatisme dans ce champ de recherches.</w:t>
      </w:r>
    </w:p>
    <w:p w14:paraId="3BBCED8A" w14:textId="60C182E9" w:rsidR="00DF7008" w:rsidRDefault="00C82590" w:rsidP="00046E69">
      <w:r>
        <w:t>L</w:t>
      </w:r>
      <w:r w:rsidR="00ED2A5C">
        <w:t xml:space="preserve">’idée de ce numéro collectif est </w:t>
      </w:r>
      <w:r w:rsidR="00DF7008">
        <w:t xml:space="preserve">portée par le travail collaboratif menée depuis plusieurs années au sein du </w:t>
      </w:r>
      <w:r w:rsidR="00ED2A5C">
        <w:t xml:space="preserve">Laboratoire Mixte International pour une Activité Minière Responsable en Afrique de l’Ouest (LMI MINERWA, </w:t>
      </w:r>
      <w:hyperlink r:id="rId7">
        <w:r w:rsidR="00ED2A5C">
          <w:rPr>
            <w:rStyle w:val="Lienhypertexte"/>
          </w:rPr>
          <w:t>https://miner-wa.org/</w:t>
        </w:r>
      </w:hyperlink>
      <w:r w:rsidR="00ED2A5C">
        <w:t xml:space="preserve">), co-dirigé par trois </w:t>
      </w:r>
      <w:r w:rsidR="00046E69">
        <w:t>partenai</w:t>
      </w:r>
      <w:r w:rsidR="00ED2A5C">
        <w:t xml:space="preserve">res français (GET à Toulouse, PRODIG à Paris et HSM à Montpellier) et trois </w:t>
      </w:r>
      <w:r w:rsidR="00046E69">
        <w:t>partena</w:t>
      </w:r>
      <w:r w:rsidR="00ED2A5C">
        <w:t>ires ivoiriens</w:t>
      </w:r>
      <w:r w:rsidR="00046E69">
        <w:t xml:space="preserve"> (Institut National Polytechnique HOUPHOUËT-BOIGNY, Université Félix HOUPHOUËT-BOIGNY, Université de Man),</w:t>
      </w:r>
      <w:r w:rsidR="00ED2A5C">
        <w:t xml:space="preserve"> </w:t>
      </w:r>
      <w:r w:rsidR="00046E69">
        <w:t>en accompagnement</w:t>
      </w:r>
      <w:r w:rsidR="00ED2A5C">
        <w:t xml:space="preserve"> du Centre d’Excellence Africain Mines et Environnement Minier (CEA-MEM, </w:t>
      </w:r>
      <w:hyperlink r:id="rId8">
        <w:r w:rsidR="00ED2A5C">
          <w:rPr>
            <w:rStyle w:val="Lienhypertexte"/>
          </w:rPr>
          <w:t>https://cea-mem.inphb.ci/</w:t>
        </w:r>
      </w:hyperlink>
      <w:r w:rsidR="00ED2A5C">
        <w:t xml:space="preserve">). </w:t>
      </w:r>
      <w:r w:rsidR="00DF7008">
        <w:t>Ce numéro vise à</w:t>
      </w:r>
      <w:r w:rsidR="00ED2A5C">
        <w:t xml:space="preserve"> </w:t>
      </w:r>
      <w:r w:rsidR="00DF7008">
        <w:t>construire</w:t>
      </w:r>
      <w:r w:rsidR="00ED2A5C">
        <w:t xml:space="preserve"> un espace pour les doctorants et </w:t>
      </w:r>
      <w:r w:rsidR="000A26FB">
        <w:t xml:space="preserve">les </w:t>
      </w:r>
      <w:r w:rsidR="00E049A8">
        <w:t>chercheurs</w:t>
      </w:r>
      <w:r w:rsidR="00ED2A5C">
        <w:t xml:space="preserve"> </w:t>
      </w:r>
      <w:r w:rsidR="00DF7008">
        <w:t xml:space="preserve">en sciences sociales actifs </w:t>
      </w:r>
      <w:r w:rsidR="00ED2A5C">
        <w:t>d</w:t>
      </w:r>
      <w:r w:rsidR="00DF7008">
        <w:t>ans</w:t>
      </w:r>
      <w:r w:rsidR="00ED2A5C">
        <w:t xml:space="preserve"> ce réseau </w:t>
      </w:r>
      <w:r w:rsidR="00DF7008">
        <w:t>afin de</w:t>
      </w:r>
      <w:r w:rsidR="00ED2A5C">
        <w:t xml:space="preserve"> publier leurs travaux dans une revue scientifique de qualité</w:t>
      </w:r>
      <w:r w:rsidR="00DF7008">
        <w:t>,</w:t>
      </w:r>
      <w:r w:rsidR="00ED2A5C">
        <w:t xml:space="preserve"> dans un numéro collectif leur donnant de la visibilité</w:t>
      </w:r>
      <w:r w:rsidR="00DF7008">
        <w:t xml:space="preserve">. Résidant en Côte d’Ivoire ou y effectuant des séjours réguliers, les trois porteurs de ce numéro pourront accompagner le travail de rédaction tout au long du processus, de façon à produire un numéro porté par un </w:t>
      </w:r>
      <w:r w:rsidR="00E049A8">
        <w:t>véritable</w:t>
      </w:r>
      <w:r w:rsidR="00DF7008">
        <w:t xml:space="preserve"> travail de groupe et une recherche marquée par </w:t>
      </w:r>
      <w:r w:rsidR="00AD71EC">
        <w:t>une recherche collaborative et partenariale</w:t>
      </w:r>
      <w:r w:rsidR="00565138">
        <w:t>.</w:t>
      </w:r>
    </w:p>
    <w:p w14:paraId="3F989D30" w14:textId="3AAD9C07" w:rsidR="000B12F4" w:rsidRDefault="00DF7008" w:rsidP="000B12F4">
      <w:r w:rsidRPr="00DF7008">
        <w:rPr>
          <w:b/>
          <w:bCs/>
        </w:rPr>
        <w:t>Argumentaire</w:t>
      </w:r>
      <w:r w:rsidR="00ED2A5C">
        <w:t xml:space="preserve"> </w:t>
      </w:r>
    </w:p>
    <w:p w14:paraId="5CD31613" w14:textId="7343CDAD" w:rsidR="000B12F4" w:rsidRDefault="00AD71EC" w:rsidP="000B12F4">
      <w:r>
        <w:t xml:space="preserve">L’objectif du numéro est d’interroger les reconfigurations sociales, spatiales et politiques induites par la transition d’une économie de rente agricole à une économie minière. </w:t>
      </w:r>
      <w:r w:rsidR="000B12F4">
        <w:t>En mettant l’accent sur un contexte encore peu exploré, il s’agit de proposer une lecture située de l’extraction aurif</w:t>
      </w:r>
      <w:r w:rsidR="00304802">
        <w:t>ère</w:t>
      </w:r>
      <w:r w:rsidR="009910A6">
        <w:t>,</w:t>
      </w:r>
      <w:r w:rsidR="00304802">
        <w:t xml:space="preserve"> </w:t>
      </w:r>
      <w:r w:rsidR="009910A6">
        <w:t>entre une ruée mondiale vers l’or et des configurations locales spécifiques</w:t>
      </w:r>
      <w:r w:rsidR="00304802">
        <w:t xml:space="preserve">. </w:t>
      </w:r>
      <w:r w:rsidR="009910A6">
        <w:t>C</w:t>
      </w:r>
      <w:r w:rsidR="000B12F4">
        <w:t>e dossier mobilise</w:t>
      </w:r>
      <w:r>
        <w:t>ra</w:t>
      </w:r>
      <w:r w:rsidR="000B12F4">
        <w:t xml:space="preserve"> des approches croisées –</w:t>
      </w:r>
      <w:r w:rsidR="00D97D2A">
        <w:t xml:space="preserve"> </w:t>
      </w:r>
      <w:r w:rsidR="000B12F4">
        <w:t>anthropologiques, géographiques</w:t>
      </w:r>
      <w:r w:rsidR="00D97D2A">
        <w:t>, historiques</w:t>
      </w:r>
      <w:r w:rsidR="000B12F4">
        <w:t xml:space="preserve"> et politiques – pour analyser les recompositions à l’œuvre, et interroger la spécificité ivoirienne à l’échelle régionale.</w:t>
      </w:r>
      <w:r w:rsidR="0021478F">
        <w:t xml:space="preserve"> L’étude de ce contexte encore peu documenté éclaire</w:t>
      </w:r>
      <w:r>
        <w:t>ra</w:t>
      </w:r>
      <w:r w:rsidR="0021478F">
        <w:t xml:space="preserve"> par contraste la diversité des trajectoires extractives en Afrique de l’Ouest, et invite</w:t>
      </w:r>
      <w:r>
        <w:t>ra</w:t>
      </w:r>
      <w:r w:rsidR="0021478F">
        <w:t xml:space="preserve"> à penser autrement les conditions de coexistence et de régulation entre acteurs, territoires et usages.</w:t>
      </w:r>
    </w:p>
    <w:p w14:paraId="2902B65D" w14:textId="77777777" w:rsidR="000B12F4" w:rsidRDefault="000B12F4" w:rsidP="000B12F4">
      <w:pPr>
        <w:pStyle w:val="Titre2"/>
      </w:pPr>
      <w:r>
        <w:lastRenderedPageBreak/>
        <w:t>1. Héritages agricoles et structurations foncières</w:t>
      </w:r>
    </w:p>
    <w:p w14:paraId="681AD0FE" w14:textId="4AFB15BD" w:rsidR="00FF3C4D" w:rsidRPr="00FF3C4D" w:rsidRDefault="000B12F4" w:rsidP="00FF3C4D">
      <w:r>
        <w:t xml:space="preserve">Contrairement au Ghana, au Mali, à la Guinée ou au Burkina Faso, où </w:t>
      </w:r>
      <w:r w:rsidR="000A26FB">
        <w:t>l’exploitation minière artisanale et de petite échelle (EMAPE)</w:t>
      </w:r>
      <w:r>
        <w:t xml:space="preserve"> s’est intégrée depuis longtemps aux économies rurales (</w:t>
      </w:r>
      <w:proofErr w:type="spellStart"/>
      <w:r>
        <w:t>Mbodj</w:t>
      </w:r>
      <w:proofErr w:type="spellEnd"/>
      <w:r>
        <w:t xml:space="preserve">, 2011 ; </w:t>
      </w:r>
      <w:proofErr w:type="spellStart"/>
      <w:r>
        <w:t>Luning</w:t>
      </w:r>
      <w:proofErr w:type="spellEnd"/>
      <w:r>
        <w:t xml:space="preserve"> &amp; </w:t>
      </w:r>
      <w:proofErr w:type="spellStart"/>
      <w:r>
        <w:t>Pijpers</w:t>
      </w:r>
      <w:proofErr w:type="spellEnd"/>
      <w:r>
        <w:t>, 2017), la Côte d’Ivoire a été dominée par une économie de rente agricole</w:t>
      </w:r>
      <w:r w:rsidR="000A26FB">
        <w:t>,</w:t>
      </w:r>
      <w:r>
        <w:t xml:space="preserve"> centrée sur les cultures d’exportation, notamment le cacao. Cette trajectoire a façonné un rapport à la terre fondé sur l’appropriation individuelle. Comme l’ont montré Chauveau et Colin (2010), cette économie de plantation s’est accompagnée d’un processus de mise en propriété individualisée, reposant sur des transactions entre autochtones et migrants (Colin, 2017). La propriété coutumière s’est ainsi cristallisée autour d’arrangements individualisés, peu compatibles avec des formes collectives de mise en vale</w:t>
      </w:r>
      <w:r w:rsidR="00FF3C4D">
        <w:t xml:space="preserve">ur aurifère (Van </w:t>
      </w:r>
      <w:proofErr w:type="spellStart"/>
      <w:r w:rsidR="00FF3C4D">
        <w:t>Bockstael</w:t>
      </w:r>
      <w:proofErr w:type="spellEnd"/>
      <w:r w:rsidR="00FF3C4D">
        <w:t>, 2019</w:t>
      </w:r>
      <w:r>
        <w:t>).</w:t>
      </w:r>
      <w:r w:rsidR="00FF3C4D">
        <w:t xml:space="preserve"> </w:t>
      </w:r>
      <w:r w:rsidR="00FF3C4D" w:rsidRPr="00FF3C4D">
        <w:t>Il convient toutefois de rappeler, comme le montre Chauveau (1978), que l’orpaillage n’est pas une activité nouvelle en Côte d’Ivoire : des formes anciennes d’exploitation aurifère existaient notamment en pays baoulé, avant de disparaître ou d’être marginalisées au cours du XXe siècle.</w:t>
      </w:r>
    </w:p>
    <w:p w14:paraId="085B5583" w14:textId="34D811B5" w:rsidR="00EA3FF5" w:rsidRDefault="00EA3FF5" w:rsidP="00D172A8">
      <w:r>
        <w:t xml:space="preserve">Une piste de recherche mériterait d’être approfondie : la spécificité ivoirienne tiendrait moins à une marginalisation historique de l’orpaillage qu’à une structuration foncière héritée des économies de rente, ayant contribué à privilégier l’individualisation des droits sur la terre, au détriment parfois des formes collectives de régulation foncière, avec des différences marquées entre le nord et le sud du pays. Tandis qu’au sud, l’orpaillage tend à s’organiser autour de la figure du propriétaire foncier, il repose au nord sur une gestion plus collective, assurée par les chefferies à travers les structures des </w:t>
      </w:r>
      <w:proofErr w:type="spellStart"/>
      <w:r>
        <w:rPr>
          <w:rStyle w:val="Accentuation"/>
        </w:rPr>
        <w:t>tombolomaw</w:t>
      </w:r>
      <w:proofErr w:type="spellEnd"/>
      <w:r>
        <w:t>, dans la continuité d’autres contextes ouest-africains à tradition mandingue (</w:t>
      </w:r>
      <w:proofErr w:type="spellStart"/>
      <w:r>
        <w:t>Dessertine</w:t>
      </w:r>
      <w:proofErr w:type="spellEnd"/>
      <w:r>
        <w:t xml:space="preserve"> et al., 2024).</w:t>
      </w:r>
    </w:p>
    <w:p w14:paraId="49449E85" w14:textId="728235EA" w:rsidR="00D172A8" w:rsidRDefault="000B12F4" w:rsidP="00D172A8">
      <w:r>
        <w:t xml:space="preserve">Ce modèle foncier repose sur un cadre juridique ambigu, entre droits coutumiers reconnus de fait et droit étatique faiblement effectif. La loi n°98-750 sur le domaine foncier rural (1998), censée formaliser les droits locaux, reste peu appliquée, et les titres fonciers sont rares (Boone &amp; Kriger, 2021). Moins de 1 % des terres rurales étaient certifiées en 2015, un constat qui a conduit à la création de l’AFOR (Agence foncière rurale) en 2016 pour accélérer le processus. </w:t>
      </w:r>
      <w:r w:rsidR="00D172A8">
        <w:t xml:space="preserve">Comme le note </w:t>
      </w:r>
      <w:proofErr w:type="spellStart"/>
      <w:r w:rsidR="00D172A8">
        <w:t>Grajales</w:t>
      </w:r>
      <w:proofErr w:type="spellEnd"/>
      <w:r w:rsidR="00D172A8">
        <w:t xml:space="preserve"> (2020), cette loi a surtout servi des objectifs politiques de reconstruction, sans sécuriser durablement les droits fonciers locaux. Il en résulte une insécurité </w:t>
      </w:r>
      <w:r w:rsidR="000A26FB">
        <w:t xml:space="preserve">foncière </w:t>
      </w:r>
      <w:r w:rsidR="00D172A8">
        <w:t>persistante, qui éclaire les incertitudes actuelles autour des</w:t>
      </w:r>
      <w:r w:rsidR="00F97703">
        <w:t xml:space="preserve"> usages extractifs de la terre, </w:t>
      </w:r>
      <w:r w:rsidR="00D172A8">
        <w:t xml:space="preserve">notamment dans le contexte de la mécanisation rapide </w:t>
      </w:r>
      <w:r w:rsidR="00F97703">
        <w:t>de l’EMAPE</w:t>
      </w:r>
      <w:r w:rsidR="00286F0B">
        <w:t>, qui nécessite des investissements considérables</w:t>
      </w:r>
      <w:r w:rsidR="00F97703">
        <w:t>.</w:t>
      </w:r>
    </w:p>
    <w:p w14:paraId="6882247D" w14:textId="0994392B" w:rsidR="00D172A8" w:rsidRDefault="00D172A8" w:rsidP="00D172A8">
      <w:pPr>
        <w:pStyle w:val="Titre2"/>
      </w:pPr>
      <w:r>
        <w:t xml:space="preserve">2. Mécanisation de </w:t>
      </w:r>
      <w:r w:rsidR="00AD71EC">
        <w:t xml:space="preserve">l’extraction </w:t>
      </w:r>
      <w:r>
        <w:t>et reconfigurations locales de la rente</w:t>
      </w:r>
    </w:p>
    <w:p w14:paraId="3A201749" w14:textId="77777777" w:rsidR="00EA3FF5" w:rsidRDefault="00D97D2A" w:rsidP="00E215DF">
      <w:pPr>
        <w:rPr>
          <w:rFonts w:eastAsia="Times New Roman" w:cs="Times New Roman"/>
          <w:szCs w:val="24"/>
          <w:lang w:eastAsia="fr-FR"/>
        </w:rPr>
      </w:pPr>
      <w:r w:rsidRPr="00D97D2A">
        <w:t>La géologie de la Côte d’Ivoire, marquée par la présence de ceintures de roches vertes (</w:t>
      </w:r>
      <w:proofErr w:type="spellStart"/>
      <w:r w:rsidRPr="00D97D2A">
        <w:t>Baratoux</w:t>
      </w:r>
      <w:proofErr w:type="spellEnd"/>
      <w:r w:rsidRPr="00D97D2A">
        <w:t xml:space="preserve"> et al., 2011), est particulièrement propice à l’exploitation aurifère. L’orpaillage</w:t>
      </w:r>
      <w:r w:rsidR="00F67407">
        <w:t xml:space="preserve"> s’est développé au nord de la Côte d’Ivoire au courant des années 2000, </w:t>
      </w:r>
      <w:r w:rsidR="00385157">
        <w:t>dans la zone contrôlée par les Forces Nouvelles dont il a largement contribué à financer la rébellion</w:t>
      </w:r>
      <w:r w:rsidR="00F67407">
        <w:t xml:space="preserve"> (</w:t>
      </w:r>
      <w:r w:rsidR="00385157">
        <w:t xml:space="preserve">United Nations 2015 ; </w:t>
      </w:r>
      <w:r w:rsidR="00F67407">
        <w:t xml:space="preserve">Van </w:t>
      </w:r>
      <w:proofErr w:type="spellStart"/>
      <w:r w:rsidR="00F67407">
        <w:t>Bockstael</w:t>
      </w:r>
      <w:proofErr w:type="spellEnd"/>
      <w:r w:rsidR="00F67407">
        <w:t xml:space="preserve"> 2019)</w:t>
      </w:r>
      <w:r w:rsidR="00385157">
        <w:t>. Au sortir de la crise, il s’est ensuite généralisé à l’ensemble du pays dans la décennie suivante</w:t>
      </w:r>
      <w:r w:rsidR="00D172A8">
        <w:t xml:space="preserve"> sous une forme</w:t>
      </w:r>
      <w:r w:rsidR="00385157">
        <w:t xml:space="preserve"> d’emblée</w:t>
      </w:r>
      <w:r w:rsidR="00D172A8">
        <w:t xml:space="preserve"> </w:t>
      </w:r>
      <w:r w:rsidRPr="00D97D2A">
        <w:t xml:space="preserve">mécanisée, </w:t>
      </w:r>
      <w:r w:rsidR="00A07EA6">
        <w:t>utilisant</w:t>
      </w:r>
      <w:r w:rsidRPr="00D97D2A">
        <w:t xml:space="preserve"> de</w:t>
      </w:r>
      <w:r w:rsidR="00A07EA6">
        <w:t>s</w:t>
      </w:r>
      <w:r w:rsidRPr="00D97D2A">
        <w:t xml:space="preserve"> </w:t>
      </w:r>
      <w:r w:rsidR="00C005D6">
        <w:t>rampes de lavage mécanisées</w:t>
      </w:r>
      <w:r w:rsidRPr="00D97D2A">
        <w:t>, de</w:t>
      </w:r>
      <w:r w:rsidR="00A07EA6">
        <w:t>s</w:t>
      </w:r>
      <w:r w:rsidRPr="00D97D2A">
        <w:t xml:space="preserve"> </w:t>
      </w:r>
      <w:r w:rsidR="00C005D6">
        <w:t>concasseurs</w:t>
      </w:r>
      <w:r w:rsidRPr="00D97D2A">
        <w:t xml:space="preserve"> et d’autres équipements motorisés</w:t>
      </w:r>
      <w:r w:rsidR="00A07EA6">
        <w:t>, importés par des orpailleurs issus des pays voisins où la reprise de l’EMAPE avait été plus précoce ou ne s’était jamais arrêtée (Burkina Faso, Mali, Guinée, Ghana, Togo, etc.)</w:t>
      </w:r>
      <w:r w:rsidRPr="00D97D2A">
        <w:t xml:space="preserve">. </w:t>
      </w:r>
      <w:r w:rsidR="00C005D6" w:rsidRPr="00C005D6">
        <w:t xml:space="preserve">Comme le montrent Champy et </w:t>
      </w:r>
      <w:proofErr w:type="spellStart"/>
      <w:r w:rsidR="00C005D6" w:rsidRPr="00C005D6">
        <w:lastRenderedPageBreak/>
        <w:t>Dessertine</w:t>
      </w:r>
      <w:proofErr w:type="spellEnd"/>
      <w:r w:rsidR="00C005D6" w:rsidRPr="00C005D6">
        <w:t xml:space="preserve"> (2024), </w:t>
      </w:r>
      <w:r w:rsidR="00A07EA6">
        <w:t>ces formes d’exploitation mécanisées ont</w:t>
      </w:r>
      <w:r w:rsidR="00C005D6" w:rsidRPr="00C005D6">
        <w:t xml:space="preserve"> structuré l’accès à la rente autour d’investisseurs, chefs d’équipe et propriétaires de machines, en accentuant la hiérarchisation des profits tout en maintenant certains mécanismes de redistribution.</w:t>
      </w:r>
      <w:r w:rsidR="00A07EA6">
        <w:t xml:space="preserve"> </w:t>
      </w:r>
      <w:r w:rsidR="00E215DF" w:rsidRPr="00E215DF">
        <w:rPr>
          <w:rFonts w:eastAsia="Times New Roman" w:cs="Times New Roman"/>
          <w:szCs w:val="24"/>
          <w:lang w:eastAsia="fr-FR"/>
        </w:rPr>
        <w:t xml:space="preserve">Dans ce cadre, Van </w:t>
      </w:r>
      <w:proofErr w:type="spellStart"/>
      <w:r w:rsidR="00E215DF" w:rsidRPr="00E215DF">
        <w:rPr>
          <w:rFonts w:eastAsia="Times New Roman" w:cs="Times New Roman"/>
          <w:szCs w:val="24"/>
          <w:lang w:eastAsia="fr-FR"/>
        </w:rPr>
        <w:t>Bockstael</w:t>
      </w:r>
      <w:proofErr w:type="spellEnd"/>
      <w:r w:rsidR="00E215DF" w:rsidRPr="00E215DF">
        <w:rPr>
          <w:rFonts w:eastAsia="Times New Roman" w:cs="Times New Roman"/>
          <w:szCs w:val="24"/>
          <w:lang w:eastAsia="fr-FR"/>
        </w:rPr>
        <w:t xml:space="preserve"> (2019) décrit une territorialisation fondée sur des accords locatifs entre propriétaires fonciers et orpailleurs, dans une logique de « </w:t>
      </w:r>
      <w:r w:rsidR="00E215DF" w:rsidRPr="0089758E">
        <w:rPr>
          <w:rFonts w:eastAsia="Times New Roman" w:cs="Times New Roman"/>
          <w:i/>
          <w:szCs w:val="24"/>
          <w:lang w:eastAsia="fr-FR"/>
        </w:rPr>
        <w:t xml:space="preserve">land </w:t>
      </w:r>
      <w:proofErr w:type="spellStart"/>
      <w:r w:rsidR="00E215DF" w:rsidRPr="0089758E">
        <w:rPr>
          <w:rFonts w:eastAsia="Times New Roman" w:cs="Times New Roman"/>
          <w:i/>
          <w:szCs w:val="24"/>
          <w:lang w:eastAsia="fr-FR"/>
        </w:rPr>
        <w:t>grabbing</w:t>
      </w:r>
      <w:proofErr w:type="spellEnd"/>
      <w:r w:rsidR="00E215DF" w:rsidRPr="0089758E">
        <w:rPr>
          <w:rFonts w:eastAsia="Times New Roman" w:cs="Times New Roman"/>
          <w:i/>
          <w:szCs w:val="24"/>
          <w:lang w:eastAsia="fr-FR"/>
        </w:rPr>
        <w:t xml:space="preserve"> </w:t>
      </w:r>
      <w:proofErr w:type="spellStart"/>
      <w:r w:rsidR="00E215DF" w:rsidRPr="0089758E">
        <w:rPr>
          <w:rFonts w:eastAsia="Times New Roman" w:cs="Times New Roman"/>
          <w:i/>
          <w:szCs w:val="24"/>
          <w:lang w:eastAsia="fr-FR"/>
        </w:rPr>
        <w:t>from</w:t>
      </w:r>
      <w:proofErr w:type="spellEnd"/>
      <w:r w:rsidR="00E215DF" w:rsidRPr="0089758E">
        <w:rPr>
          <w:rFonts w:eastAsia="Times New Roman" w:cs="Times New Roman"/>
          <w:i/>
          <w:szCs w:val="24"/>
          <w:lang w:eastAsia="fr-FR"/>
        </w:rPr>
        <w:t xml:space="preserve"> </w:t>
      </w:r>
      <w:proofErr w:type="spellStart"/>
      <w:r w:rsidR="00E215DF" w:rsidRPr="0089758E">
        <w:rPr>
          <w:rFonts w:eastAsia="Times New Roman" w:cs="Times New Roman"/>
          <w:i/>
          <w:szCs w:val="24"/>
          <w:lang w:eastAsia="fr-FR"/>
        </w:rPr>
        <w:t>below</w:t>
      </w:r>
      <w:proofErr w:type="spellEnd"/>
      <w:r w:rsidR="00E215DF" w:rsidRPr="00E215DF">
        <w:rPr>
          <w:rFonts w:eastAsia="Times New Roman" w:cs="Times New Roman"/>
          <w:szCs w:val="24"/>
          <w:lang w:eastAsia="fr-FR"/>
        </w:rPr>
        <w:t xml:space="preserve"> ». Ce processus passe par des arrangements contractuels et monétaires, qui rendent les propriétaires fonciers centraux dans l’organisation de l’extraction tout en maintenant l’État à distance. </w:t>
      </w:r>
    </w:p>
    <w:p w14:paraId="6319A960" w14:textId="38F8C165" w:rsidR="00031E8D" w:rsidRPr="00031E8D" w:rsidRDefault="00E215DF" w:rsidP="00E215DF">
      <w:r w:rsidRPr="00E215DF">
        <w:rPr>
          <w:rFonts w:eastAsia="Times New Roman" w:cs="Times New Roman"/>
          <w:szCs w:val="24"/>
          <w:lang w:eastAsia="fr-FR"/>
        </w:rPr>
        <w:t xml:space="preserve">Il convient toutefois de compléter cette analyse en s’interrogeant sur les formes de marginalisation relative que peuvent connaître ces mêmes propriétaires, notamment face à une jeunesse qui maîtrise les savoirs techniques de l’extraction. </w:t>
      </w:r>
      <w:r w:rsidR="00031E8D">
        <w:t>Dans plusieurs contextes, notamment dans le centre agroforestier ivoirien, la maîtrise des techniques minières représente un levier décisif pour les jeunes : elle leur permet à la fois de s’imposer dans une organisation productive auparavant centrée sur les cultures de rente, et de devenir des figures clés de l’arène politique villageoise. En accédant à des fonctions de médiation, d’arbitrage ou de redistribution, ils contribuent ainsi à redéfinir les hiérarchies locales à partir des dynamiques propres à l’économie de l’or.</w:t>
      </w:r>
    </w:p>
    <w:p w14:paraId="15218EC2" w14:textId="6F0E221E" w:rsidR="000B12F4" w:rsidRDefault="000B12F4" w:rsidP="00304802">
      <w:pPr>
        <w:pStyle w:val="Titre2"/>
      </w:pPr>
      <w:r>
        <w:t xml:space="preserve">3. </w:t>
      </w:r>
      <w:r w:rsidR="008C3992">
        <w:t>Politiques de formalisation et gouvernance locale</w:t>
      </w:r>
    </w:p>
    <w:p w14:paraId="0E616E60" w14:textId="7F8BDD61" w:rsidR="00EC54CF" w:rsidRDefault="0021478F" w:rsidP="000B12F4">
      <w:r>
        <w:t>L’orpaillage clandestin est soumis à une répression constante,</w:t>
      </w:r>
      <w:r w:rsidR="0089758E">
        <w:t xml:space="preserve"> émanant de différentes unités dont</w:t>
      </w:r>
      <w:r>
        <w:t xml:space="preserve"> le Groupement Spécial de Lutte con</w:t>
      </w:r>
      <w:r w:rsidR="00EA3FF5">
        <w:t>tre l’Orpaillage Illégal (GSLOI</w:t>
      </w:r>
      <w:r>
        <w:t>) créé par le Conseil National de Sécurité</w:t>
      </w:r>
      <w:r w:rsidR="0089758E">
        <w:t xml:space="preserve">, </w:t>
      </w:r>
      <w:r>
        <w:t xml:space="preserve">les 164 brigades de gendarmerie territoriale chargées de </w:t>
      </w:r>
      <w:r w:rsidR="00B75C3C">
        <w:t xml:space="preserve">la surveillance et des enquêtes, ou encore </w:t>
      </w:r>
      <w:r>
        <w:t xml:space="preserve">les 25 escadrons d’intervention de gendarmerie mobile qui dépendent du Ministère de l’Intérieur. </w:t>
      </w:r>
      <w:r w:rsidR="000B12F4">
        <w:t xml:space="preserve">Adossé au </w:t>
      </w:r>
      <w:r w:rsidR="00AD71EC">
        <w:t>C</w:t>
      </w:r>
      <w:r w:rsidR="000B12F4">
        <w:t>ode minier de 2014, ce</w:t>
      </w:r>
      <w:r w:rsidR="008C3992">
        <w:t>s</w:t>
      </w:r>
      <w:r w:rsidR="000B12F4">
        <w:t xml:space="preserve"> dispositif</w:t>
      </w:r>
      <w:r w:rsidR="008C3992">
        <w:t>s</w:t>
      </w:r>
      <w:r w:rsidR="000B12F4">
        <w:t xml:space="preserve"> repose</w:t>
      </w:r>
      <w:r w:rsidR="008C3992">
        <w:t>nt</w:t>
      </w:r>
      <w:r w:rsidR="000B12F4">
        <w:t xml:space="preserve"> sur une interdiction stricte des activités non autorisées. Or, les démarches de formalisation restent peu accessibles pour les orpailleurs, en raison de leur complexité, de leur coût et de la localisation marginale des zones dédiées à l’EMAPE.</w:t>
      </w:r>
      <w:r>
        <w:t xml:space="preserve"> </w:t>
      </w:r>
      <w:r w:rsidR="00B75C3C" w:rsidRPr="00B75C3C">
        <w:t>A la différence de certains de ses voisins</w:t>
      </w:r>
      <w:r w:rsidR="00765C1C" w:rsidRPr="00B75C3C">
        <w:t>, la Côte d’Ivoire se caractérise par une régulation plus centralisée, largement appuyée sur l’inter</w:t>
      </w:r>
      <w:r w:rsidR="00B75C3C" w:rsidRPr="00B75C3C">
        <w:t xml:space="preserve">vention des forces de sécurité </w:t>
      </w:r>
      <w:r w:rsidR="00765C1C" w:rsidRPr="00B75C3C">
        <w:t>tandis que des approches plus collaboratives ont été mises en œuvre ailleurs, notamment au Ghana</w:t>
      </w:r>
      <w:r w:rsidR="00765C1C">
        <w:t xml:space="preserve"> (</w:t>
      </w:r>
      <w:proofErr w:type="spellStart"/>
      <w:r w:rsidR="00765C1C">
        <w:t>Hilson</w:t>
      </w:r>
      <w:proofErr w:type="spellEnd"/>
      <w:r w:rsidR="00765C1C">
        <w:t xml:space="preserve"> et al., 2017 ; </w:t>
      </w:r>
      <w:proofErr w:type="spellStart"/>
      <w:r w:rsidR="00765C1C">
        <w:t>Osei</w:t>
      </w:r>
      <w:proofErr w:type="spellEnd"/>
      <w:r w:rsidR="00765C1C">
        <w:t xml:space="preserve"> et al., 2021). Bien que cette centralisation varie selon les régions, elle traduit une reconnaissance limitée des formes locales de régulation et une orientation plus coercitive dans la gestion du secteur.</w:t>
      </w:r>
    </w:p>
    <w:p w14:paraId="32335F2C" w14:textId="307833A1" w:rsidR="00286F0B" w:rsidRDefault="00D75F59" w:rsidP="000B12F4">
      <w:r>
        <w:t>En parallèle, le développement de l’industrie minière légale, soutenu par le code minier de 2014, a renforcé une polarisation entre deux formes d’extraction : l’orpaillage semi-mécanisé, souvent illégal, et l’exploitation industrielle encadrée par l’État. Les zones officiellement dédiées à l’EMAPE restent rares et difficilement accessibles, contraignant les orpailleurs à s’installer en périphérie des concessions industrielles. Toutefois, cette séparation ne reflète pas toujours la réalité du terrain : dans plusieurs régions, les deux types d’exploitation coexistent et entretiennent des relations variables selon les contextes locaux. S’appuyant sur des travaux récents (Konan, 2022 ; Traoré, 2023), ce numéro propose d’examiner ces configurations relationnelles, en mettant en lumière les formes concrètes de coexistence, de tensions ou d’ajustements entre les acteurs de l’industrie minière et ceux de l’orpaillage. L’objectif est d’enrichir l’analyse des dynamiques aurifères en Côte d’Ivoire, tout en ouvrant des perspectives comparatives à l’échelle ouest-africaine.</w:t>
      </w:r>
    </w:p>
    <w:p w14:paraId="41F62B9B" w14:textId="3D21976D" w:rsidR="000B12F4" w:rsidRDefault="008C3992" w:rsidP="000B12F4">
      <w:r>
        <w:lastRenderedPageBreak/>
        <w:t xml:space="preserve">Les tensions sociales et politiques qui structurent le secteur extractif permettent ainsi d’interroger la dynamique de construction de l’État ivoirien et de ses politiques publiques en </w:t>
      </w:r>
      <w:r w:rsidR="00B30BDC">
        <w:t xml:space="preserve">nous concentrant sur le </w:t>
      </w:r>
      <w:r>
        <w:t>milieu rural, qui reste souvent un angle mort de l’action publique. Dans un contexte marqué par une option libérale et par « l’émergence économique » vantée par le président Alassane Ouattara mais aussi par les traces laissées par la période de ni-guerre ni-paix (McGovern 2011)</w:t>
      </w:r>
      <w:r w:rsidR="009910A6">
        <w:t>.</w:t>
      </w:r>
    </w:p>
    <w:p w14:paraId="4A12E44B" w14:textId="326DFBD6" w:rsidR="00991CDE" w:rsidRDefault="00991CDE" w:rsidP="00BD6DD0">
      <w:pPr>
        <w:pStyle w:val="Titre3"/>
      </w:pPr>
      <w:r>
        <w:t>Calendrier</w:t>
      </w:r>
    </w:p>
    <w:p w14:paraId="4CBC420C" w14:textId="135DC2B2" w:rsidR="00BD6DD0" w:rsidRDefault="00991CDE" w:rsidP="000B12F4">
      <w:r>
        <w:t>Ce numéro comprendra environ 6 articles</w:t>
      </w:r>
      <w:r w:rsidR="00BD6DD0">
        <w:t>,</w:t>
      </w:r>
      <w:r>
        <w:t xml:space="preserve"> sélectionnés selon une évaluation scientifique en double aveugle. </w:t>
      </w:r>
      <w:r w:rsidR="00BD6DD0">
        <w:t>Les articles de 50000 signes maximum, espaces compris, doivent être conformes aux normes éditoriales de la revue (</w:t>
      </w:r>
      <w:hyperlink r:id="rId9" w:history="1">
        <w:r w:rsidR="00BD6DD0" w:rsidRPr="00695130">
          <w:rPr>
            <w:rStyle w:val="Lienhypertexte"/>
          </w:rPr>
          <w:t xml:space="preserve">voir </w:t>
        </w:r>
        <w:proofErr w:type="spellStart"/>
        <w:r w:rsidR="00BD6DD0" w:rsidRPr="00695130">
          <w:rPr>
            <w:rStyle w:val="Lienhypertexte"/>
          </w:rPr>
          <w:t>pdf</w:t>
        </w:r>
        <w:proofErr w:type="spellEnd"/>
      </w:hyperlink>
      <w:r w:rsidR="00BD6DD0">
        <w:t xml:space="preserve">). Il est possible d’y présenter des illustrations. </w:t>
      </w:r>
    </w:p>
    <w:p w14:paraId="0E7A71DE" w14:textId="658C7EA4" w:rsidR="00991CDE" w:rsidRDefault="00991CDE" w:rsidP="000B12F4">
      <w:r>
        <w:t>Les articles</w:t>
      </w:r>
      <w:r w:rsidR="00BD6DD0">
        <w:t xml:space="preserve"> </w:t>
      </w:r>
      <w:r>
        <w:t xml:space="preserve">doivent être adressés au plus le </w:t>
      </w:r>
      <w:r w:rsidRPr="00991CDE">
        <w:rPr>
          <w:b/>
          <w:bCs/>
        </w:rPr>
        <w:t xml:space="preserve">13 octobre 2025 </w:t>
      </w:r>
      <w:r>
        <w:t xml:space="preserve">aux adresses suivantes : </w:t>
      </w:r>
      <w:hyperlink r:id="rId10" w:history="1">
        <w:r w:rsidRPr="004C4D50">
          <w:rPr>
            <w:rStyle w:val="Lienhypertexte"/>
          </w:rPr>
          <w:t>muriel.champy@univ-amu.fr</w:t>
        </w:r>
      </w:hyperlink>
      <w:r>
        <w:t xml:space="preserve">, </w:t>
      </w:r>
      <w:hyperlink r:id="rId11" w:history="1">
        <w:r w:rsidRPr="004C4D50">
          <w:rPr>
            <w:rStyle w:val="Lienhypertexte"/>
          </w:rPr>
          <w:t>anna.dessertine@ird.fr</w:t>
        </w:r>
      </w:hyperlink>
      <w:r>
        <w:t xml:space="preserve">, </w:t>
      </w:r>
      <w:hyperlink r:id="rId12" w:history="1">
        <w:r w:rsidRPr="004C4D50">
          <w:rPr>
            <w:rStyle w:val="Lienhypertexte"/>
          </w:rPr>
          <w:t>hugodorycros@gmail.com</w:t>
        </w:r>
      </w:hyperlink>
      <w:r>
        <w:t xml:space="preserve"> </w:t>
      </w:r>
    </w:p>
    <w:p w14:paraId="3347CB97" w14:textId="6D9A7AB5" w:rsidR="00991CDE" w:rsidRDefault="00991CDE" w:rsidP="000B12F4">
      <w:r w:rsidRPr="00695130">
        <w:rPr>
          <w:b/>
          <w:bCs/>
        </w:rPr>
        <w:t>20 octobre</w:t>
      </w:r>
      <w:r w:rsidR="00695130" w:rsidRPr="00695130">
        <w:rPr>
          <w:b/>
          <w:bCs/>
        </w:rPr>
        <w:t xml:space="preserve"> 2025</w:t>
      </w:r>
      <w:r>
        <w:t> : avis aux auteurs</w:t>
      </w:r>
    </w:p>
    <w:p w14:paraId="6C669B26" w14:textId="4F6551CD" w:rsidR="00991CDE" w:rsidRDefault="00991CDE" w:rsidP="000B12F4">
      <w:r w:rsidRPr="00695130">
        <w:rPr>
          <w:b/>
          <w:bCs/>
        </w:rPr>
        <w:t>6-7 novembre</w:t>
      </w:r>
      <w:r w:rsidR="00695130" w:rsidRPr="00695130">
        <w:rPr>
          <w:b/>
          <w:bCs/>
        </w:rPr>
        <w:t xml:space="preserve"> 2025</w:t>
      </w:r>
      <w:r>
        <w:t xml:space="preserve"> : atelier d’écriture avec </w:t>
      </w:r>
      <w:r w:rsidR="00695130">
        <w:t>l</w:t>
      </w:r>
      <w:r>
        <w:t>es participants</w:t>
      </w:r>
      <w:r w:rsidR="00695130">
        <w:t xml:space="preserve"> retenus</w:t>
      </w:r>
      <w:r>
        <w:t xml:space="preserve"> (Yamoussoukro)</w:t>
      </w:r>
    </w:p>
    <w:p w14:paraId="0DDDC1C1" w14:textId="6F82D694" w:rsidR="00991CDE" w:rsidRDefault="00991CDE" w:rsidP="000B12F4">
      <w:r w:rsidRPr="00695130">
        <w:rPr>
          <w:b/>
          <w:bCs/>
        </w:rPr>
        <w:t>24 novembre</w:t>
      </w:r>
      <w:r w:rsidR="00695130" w:rsidRPr="00695130">
        <w:rPr>
          <w:b/>
          <w:bCs/>
        </w:rPr>
        <w:t xml:space="preserve"> 2025</w:t>
      </w:r>
      <w:r>
        <w:t> : réception des articles finalisés</w:t>
      </w:r>
    </w:p>
    <w:p w14:paraId="770D5C47" w14:textId="76FA03F3" w:rsidR="00695130" w:rsidRDefault="00695130" w:rsidP="000B12F4">
      <w:r w:rsidRPr="00695130">
        <w:rPr>
          <w:b/>
          <w:bCs/>
        </w:rPr>
        <w:t>1</w:t>
      </w:r>
      <w:r w:rsidRPr="00695130">
        <w:rPr>
          <w:b/>
          <w:bCs/>
          <w:vertAlign w:val="superscript"/>
        </w:rPr>
        <w:t>er</w:t>
      </w:r>
      <w:r w:rsidRPr="00695130">
        <w:rPr>
          <w:b/>
          <w:bCs/>
        </w:rPr>
        <w:t xml:space="preserve"> décembre</w:t>
      </w:r>
      <w:r>
        <w:t> : envoi de l’ensemble des articles à la revue</w:t>
      </w:r>
    </w:p>
    <w:p w14:paraId="5FD0EEBA" w14:textId="028F4948" w:rsidR="00695130" w:rsidRDefault="00695130" w:rsidP="00695130">
      <w:proofErr w:type="gramStart"/>
      <w:r w:rsidRPr="00695130">
        <w:rPr>
          <w:b/>
          <w:bCs/>
        </w:rPr>
        <w:t>janvier</w:t>
      </w:r>
      <w:proofErr w:type="gramEnd"/>
      <w:r w:rsidRPr="00695130">
        <w:rPr>
          <w:b/>
          <w:bCs/>
        </w:rPr>
        <w:t xml:space="preserve"> - avril 2026</w:t>
      </w:r>
      <w:r>
        <w:t xml:space="preserve"> : évaluations externes</w:t>
      </w:r>
    </w:p>
    <w:p w14:paraId="6D633D32" w14:textId="73C3C1F4" w:rsidR="00695130" w:rsidRDefault="00695130" w:rsidP="00695130">
      <w:proofErr w:type="gramStart"/>
      <w:r w:rsidRPr="00695130">
        <w:rPr>
          <w:b/>
          <w:bCs/>
        </w:rPr>
        <w:t>mai</w:t>
      </w:r>
      <w:proofErr w:type="gramEnd"/>
      <w:r w:rsidRPr="00695130">
        <w:rPr>
          <w:b/>
          <w:bCs/>
        </w:rPr>
        <w:t xml:space="preserve"> - septembre 2026</w:t>
      </w:r>
      <w:r>
        <w:t xml:space="preserve"> : réécriture des textes</w:t>
      </w:r>
    </w:p>
    <w:p w14:paraId="132F8906" w14:textId="02D65692" w:rsidR="00695130" w:rsidRDefault="00695130" w:rsidP="00695130">
      <w:proofErr w:type="gramStart"/>
      <w:r w:rsidRPr="00695130">
        <w:rPr>
          <w:b/>
          <w:bCs/>
        </w:rPr>
        <w:t>octobre</w:t>
      </w:r>
      <w:proofErr w:type="gramEnd"/>
      <w:r w:rsidRPr="00695130">
        <w:rPr>
          <w:b/>
          <w:bCs/>
        </w:rPr>
        <w:t>-décembre 2026</w:t>
      </w:r>
      <w:r>
        <w:t xml:space="preserve"> : travail éditorial</w:t>
      </w:r>
    </w:p>
    <w:p w14:paraId="0EDECB96" w14:textId="1E03A5ED" w:rsidR="00695130" w:rsidRDefault="00695130" w:rsidP="00695130">
      <w:r>
        <w:t xml:space="preserve">Publication du dossier dans le </w:t>
      </w:r>
      <w:r w:rsidRPr="00695130">
        <w:rPr>
          <w:b/>
          <w:bCs/>
        </w:rPr>
        <w:t>premier numéro 2027</w:t>
      </w:r>
      <w:r>
        <w:t>.</w:t>
      </w:r>
    </w:p>
    <w:p w14:paraId="1BF3BFBD" w14:textId="77777777" w:rsidR="003F7C2A" w:rsidRDefault="00C327A2" w:rsidP="003F7C2A">
      <w:pPr>
        <w:spacing w:before="100" w:beforeAutospacing="1" w:after="100" w:afterAutospacing="1" w:line="240" w:lineRule="auto"/>
        <w:outlineLvl w:val="2"/>
        <w:rPr>
          <w:rFonts w:eastAsia="Times New Roman" w:cs="Times New Roman"/>
          <w:b/>
          <w:bCs/>
          <w:sz w:val="27"/>
          <w:szCs w:val="27"/>
          <w:lang w:eastAsia="fr-FR"/>
        </w:rPr>
      </w:pPr>
      <w:r w:rsidRPr="00C327A2">
        <w:rPr>
          <w:rFonts w:eastAsia="Times New Roman" w:cs="Times New Roman"/>
          <w:b/>
          <w:bCs/>
          <w:sz w:val="27"/>
          <w:szCs w:val="27"/>
          <w:lang w:eastAsia="fr-FR"/>
        </w:rPr>
        <w:t>Bibliographie</w:t>
      </w:r>
    </w:p>
    <w:p w14:paraId="710F74BF" w14:textId="77777777" w:rsidR="00D97D2A" w:rsidRPr="00D97D2A" w:rsidRDefault="00D97D2A" w:rsidP="00FF3C4D">
      <w:pPr>
        <w:spacing w:after="0" w:line="240" w:lineRule="auto"/>
        <w:ind w:left="284" w:hanging="284"/>
      </w:pPr>
      <w:proofErr w:type="spellStart"/>
      <w:r>
        <w:t>Arnaldi</w:t>
      </w:r>
      <w:proofErr w:type="spellEnd"/>
      <w:r>
        <w:t xml:space="preserve"> di Balme, L., &amp; </w:t>
      </w:r>
      <w:proofErr w:type="spellStart"/>
      <w:r>
        <w:t>Lanzano</w:t>
      </w:r>
      <w:proofErr w:type="spellEnd"/>
      <w:r>
        <w:t xml:space="preserve">, C. (2013). ‘Entrepreneurs de la frontière’ : le rôle des comptoirs privés dans les sites d'extraction artisanale de l'or au Burkina Faso. </w:t>
      </w:r>
      <w:r>
        <w:rPr>
          <w:rStyle w:val="Accentuation"/>
        </w:rPr>
        <w:t>Politique africaine</w:t>
      </w:r>
      <w:r>
        <w:t>, (131), 27-49. https://doi.org/10.3917/polaf.131.0027</w:t>
      </w:r>
    </w:p>
    <w:p w14:paraId="78FEC157" w14:textId="77777777" w:rsidR="00996CFB" w:rsidRDefault="00996CFB" w:rsidP="00FF3C4D">
      <w:pPr>
        <w:spacing w:after="0" w:line="240" w:lineRule="auto"/>
        <w:ind w:left="284" w:hanging="284"/>
        <w:rPr>
          <w:lang w:val="en-US"/>
        </w:rPr>
      </w:pPr>
      <w:proofErr w:type="spellStart"/>
      <w:r w:rsidRPr="00E85FC7">
        <w:t>Baratoux</w:t>
      </w:r>
      <w:proofErr w:type="spellEnd"/>
      <w:r w:rsidRPr="00E85FC7">
        <w:t xml:space="preserve">, D., </w:t>
      </w:r>
      <w:proofErr w:type="spellStart"/>
      <w:r w:rsidRPr="00E85FC7">
        <w:t>Metelka</w:t>
      </w:r>
      <w:proofErr w:type="spellEnd"/>
      <w:r w:rsidRPr="00E85FC7">
        <w:t xml:space="preserve">, V., </w:t>
      </w:r>
      <w:proofErr w:type="spellStart"/>
      <w:r w:rsidRPr="00E85FC7">
        <w:t>Naba</w:t>
      </w:r>
      <w:proofErr w:type="spellEnd"/>
      <w:r w:rsidRPr="00E85FC7">
        <w:t xml:space="preserve">, S., </w:t>
      </w:r>
      <w:proofErr w:type="spellStart"/>
      <w:r w:rsidRPr="00E85FC7">
        <w:t>Jessell</w:t>
      </w:r>
      <w:proofErr w:type="spellEnd"/>
      <w:r w:rsidRPr="00E85FC7">
        <w:t xml:space="preserve">, M., Ganne, J., &amp; </w:t>
      </w:r>
      <w:proofErr w:type="spellStart"/>
      <w:r w:rsidRPr="00E85FC7">
        <w:t>Kagambega</w:t>
      </w:r>
      <w:proofErr w:type="spellEnd"/>
      <w:r w:rsidRPr="00E85FC7">
        <w:t xml:space="preserve">, N. (2011). </w:t>
      </w:r>
      <w:r w:rsidRPr="00996CFB">
        <w:rPr>
          <w:lang w:val="en-US"/>
        </w:rPr>
        <w:t xml:space="preserve">Juvenile Paleoproterozoic crust evolution during the Eburnean orogeny (~2.2–2.0 Ga), western Burkina Faso. </w:t>
      </w:r>
      <w:r w:rsidRPr="00286F0B">
        <w:rPr>
          <w:rStyle w:val="Accentuation"/>
          <w:lang w:val="en-US"/>
        </w:rPr>
        <w:t>Precambrian Research</w:t>
      </w:r>
      <w:r w:rsidRPr="00286F0B">
        <w:rPr>
          <w:lang w:val="en-US"/>
        </w:rPr>
        <w:t xml:space="preserve">, 191(1-2), 18-45. </w:t>
      </w:r>
      <w:hyperlink r:id="rId13" w:tgtFrame="_new" w:history="1">
        <w:r w:rsidRPr="00286F0B">
          <w:rPr>
            <w:rStyle w:val="Lienhypertexte"/>
            <w:lang w:val="en-US"/>
          </w:rPr>
          <w:t>https://doi.org/10.1016/j.precamres.2011.08.002</w:t>
        </w:r>
      </w:hyperlink>
    </w:p>
    <w:p w14:paraId="604C0D7B" w14:textId="77777777" w:rsidR="00235C19" w:rsidRPr="00EA3FF5" w:rsidRDefault="00235C19" w:rsidP="00FF3C4D">
      <w:pPr>
        <w:spacing w:after="0" w:line="240" w:lineRule="auto"/>
        <w:ind w:left="284" w:hanging="284"/>
        <w:rPr>
          <w:rFonts w:eastAsia="Times New Roman" w:cs="Times New Roman"/>
          <w:szCs w:val="24"/>
          <w:lang w:val="en-US" w:eastAsia="fr-FR"/>
        </w:rPr>
      </w:pPr>
      <w:r w:rsidRPr="00235C19">
        <w:rPr>
          <w:lang w:val="en-US"/>
        </w:rPr>
        <w:t xml:space="preserve">Boone, C., &amp; </w:t>
      </w:r>
      <w:proofErr w:type="spellStart"/>
      <w:r w:rsidRPr="00235C19">
        <w:rPr>
          <w:lang w:val="en-US"/>
        </w:rPr>
        <w:t>Kriger</w:t>
      </w:r>
      <w:proofErr w:type="spellEnd"/>
      <w:r w:rsidRPr="00235C19">
        <w:rPr>
          <w:lang w:val="en-US"/>
        </w:rPr>
        <w:t xml:space="preserve">, N. (2021). </w:t>
      </w:r>
      <w:r w:rsidRPr="00FF3C4D">
        <w:rPr>
          <w:rStyle w:val="Accentuation"/>
          <w:i w:val="0"/>
          <w:lang w:val="en-US"/>
        </w:rPr>
        <w:t>Push, pull and push-back to land certification: regional dynamics in pilot certification projects in Côte d'Ivoire</w:t>
      </w:r>
      <w:r w:rsidRPr="00235C19">
        <w:rPr>
          <w:lang w:val="en-US"/>
        </w:rPr>
        <w:t xml:space="preserve">. </w:t>
      </w:r>
      <w:r w:rsidRPr="00EA3FF5">
        <w:rPr>
          <w:i/>
          <w:lang w:val="en-US"/>
        </w:rPr>
        <w:t>The Journal of Modern African Studies</w:t>
      </w:r>
      <w:r w:rsidR="00FF3C4D" w:rsidRPr="00EA3FF5">
        <w:rPr>
          <w:lang w:val="en-US"/>
        </w:rPr>
        <w:t>, 59(3), 247-</w:t>
      </w:r>
      <w:r w:rsidRPr="00EA3FF5">
        <w:rPr>
          <w:lang w:val="en-US"/>
        </w:rPr>
        <w:t xml:space="preserve">272. </w:t>
      </w:r>
      <w:hyperlink r:id="rId14" w:tgtFrame="_new" w:history="1">
        <w:r w:rsidRPr="00EA3FF5">
          <w:rPr>
            <w:rStyle w:val="Lienhypertexte"/>
            <w:lang w:val="en-US"/>
          </w:rPr>
          <w:t>https://doi.org/10.1017/S0022278X21000124</w:t>
        </w:r>
      </w:hyperlink>
    </w:p>
    <w:p w14:paraId="60AE10A8" w14:textId="77777777" w:rsidR="003F7C2A" w:rsidRDefault="00C327A2" w:rsidP="00FF3C4D">
      <w:pPr>
        <w:spacing w:after="0" w:line="240" w:lineRule="auto"/>
        <w:ind w:left="284" w:hanging="284"/>
        <w:rPr>
          <w:rFonts w:eastAsia="Times New Roman" w:cs="Times New Roman"/>
          <w:szCs w:val="24"/>
          <w:lang w:eastAsia="fr-FR"/>
        </w:rPr>
      </w:pPr>
      <w:proofErr w:type="spellStart"/>
      <w:r w:rsidRPr="00EA3FF5">
        <w:rPr>
          <w:lang w:val="en-US"/>
        </w:rPr>
        <w:t>Champ</w:t>
      </w:r>
      <w:r w:rsidR="00FF3C4D" w:rsidRPr="00EA3FF5">
        <w:rPr>
          <w:lang w:val="en-US"/>
        </w:rPr>
        <w:t>y</w:t>
      </w:r>
      <w:proofErr w:type="spellEnd"/>
      <w:r w:rsidR="00FF3C4D" w:rsidRPr="00EA3FF5">
        <w:rPr>
          <w:lang w:val="en-US"/>
        </w:rPr>
        <w:t xml:space="preserve">, M., &amp; </w:t>
      </w:r>
      <w:proofErr w:type="spellStart"/>
      <w:r w:rsidR="00FF3C4D" w:rsidRPr="00EA3FF5">
        <w:rPr>
          <w:lang w:val="en-US"/>
        </w:rPr>
        <w:t>Dessertine</w:t>
      </w:r>
      <w:proofErr w:type="spellEnd"/>
      <w:r w:rsidR="00FF3C4D" w:rsidRPr="00EA3FF5">
        <w:rPr>
          <w:lang w:val="en-US"/>
        </w:rPr>
        <w:t>, A. (2024).</w:t>
      </w:r>
      <w:r w:rsidRPr="00EA3FF5">
        <w:rPr>
          <w:lang w:val="en-US"/>
        </w:rPr>
        <w:t xml:space="preserve"> </w:t>
      </w:r>
      <w:r w:rsidRPr="00C327A2">
        <w:rPr>
          <w:rFonts w:eastAsia="Times New Roman" w:cs="Times New Roman"/>
          <w:szCs w:val="24"/>
          <w:lang w:eastAsia="fr-FR"/>
        </w:rPr>
        <w:t>Économie quotidienne de l’extraction aurifère de peti</w:t>
      </w:r>
      <w:r w:rsidR="00FF3C4D">
        <w:rPr>
          <w:rFonts w:eastAsia="Times New Roman" w:cs="Times New Roman"/>
          <w:szCs w:val="24"/>
          <w:lang w:eastAsia="fr-FR"/>
        </w:rPr>
        <w:t>te échelle en Côte d’Ivoire.</w:t>
      </w:r>
      <w:r w:rsidRPr="00C327A2">
        <w:rPr>
          <w:rFonts w:eastAsia="Times New Roman" w:cs="Times New Roman"/>
          <w:szCs w:val="24"/>
          <w:lang w:eastAsia="fr-FR"/>
        </w:rPr>
        <w:t xml:space="preserve"> </w:t>
      </w:r>
      <w:r w:rsidRPr="00C327A2">
        <w:rPr>
          <w:rFonts w:eastAsia="Times New Roman" w:cs="Times New Roman"/>
          <w:i/>
          <w:iCs/>
          <w:szCs w:val="24"/>
          <w:lang w:eastAsia="fr-FR"/>
        </w:rPr>
        <w:t>Afrique Contemporaine</w:t>
      </w:r>
      <w:r w:rsidR="00FF3C4D">
        <w:rPr>
          <w:rFonts w:eastAsia="Times New Roman" w:cs="Times New Roman"/>
          <w:szCs w:val="24"/>
          <w:lang w:eastAsia="fr-FR"/>
        </w:rPr>
        <w:t>, 277, 79-</w:t>
      </w:r>
      <w:r w:rsidRPr="00C327A2">
        <w:rPr>
          <w:rFonts w:eastAsia="Times New Roman" w:cs="Times New Roman"/>
          <w:szCs w:val="24"/>
          <w:lang w:eastAsia="fr-FR"/>
        </w:rPr>
        <w:t>101.</w:t>
      </w:r>
    </w:p>
    <w:p w14:paraId="10C1E93B" w14:textId="77777777" w:rsidR="003F7C2A" w:rsidRPr="00235C19" w:rsidRDefault="00FF3C4D" w:rsidP="00FF3C4D">
      <w:pPr>
        <w:spacing w:after="0" w:line="240" w:lineRule="auto"/>
        <w:ind w:left="284" w:hanging="284"/>
        <w:rPr>
          <w:rFonts w:eastAsia="Times New Roman" w:cs="Times New Roman"/>
          <w:szCs w:val="24"/>
          <w:lang w:val="en-US" w:eastAsia="fr-FR"/>
        </w:rPr>
      </w:pPr>
      <w:r>
        <w:rPr>
          <w:rFonts w:eastAsia="Times New Roman" w:cs="Times New Roman"/>
          <w:szCs w:val="24"/>
          <w:lang w:eastAsia="fr-FR"/>
        </w:rPr>
        <w:t xml:space="preserve">Chauveau, J.-P. (1978). </w:t>
      </w:r>
      <w:r w:rsidR="003F7C2A" w:rsidRPr="00945630">
        <w:rPr>
          <w:rFonts w:eastAsia="Times New Roman" w:cs="Times New Roman"/>
          <w:szCs w:val="24"/>
          <w:lang w:eastAsia="fr-FR"/>
        </w:rPr>
        <w:t>Contribution à la géographie historique de l'or</w:t>
      </w:r>
      <w:r>
        <w:rPr>
          <w:rFonts w:eastAsia="Times New Roman" w:cs="Times New Roman"/>
          <w:szCs w:val="24"/>
          <w:lang w:eastAsia="fr-FR"/>
        </w:rPr>
        <w:t xml:space="preserve"> en pays baoulé (Côte d'Ivoire)</w:t>
      </w:r>
      <w:r w:rsidR="003F7C2A" w:rsidRPr="00945630">
        <w:rPr>
          <w:rFonts w:eastAsia="Times New Roman" w:cs="Times New Roman"/>
          <w:szCs w:val="24"/>
          <w:lang w:eastAsia="fr-FR"/>
        </w:rPr>
        <w:t xml:space="preserve">. </w:t>
      </w:r>
      <w:r w:rsidR="003F7C2A" w:rsidRPr="00235C19">
        <w:rPr>
          <w:rFonts w:eastAsia="Times New Roman" w:cs="Times New Roman"/>
          <w:i/>
          <w:iCs/>
          <w:szCs w:val="24"/>
          <w:lang w:val="en-US" w:eastAsia="fr-FR"/>
        </w:rPr>
        <w:t xml:space="preserve">Journal des </w:t>
      </w:r>
      <w:proofErr w:type="spellStart"/>
      <w:r w:rsidR="003F7C2A" w:rsidRPr="00235C19">
        <w:rPr>
          <w:rFonts w:eastAsia="Times New Roman" w:cs="Times New Roman"/>
          <w:i/>
          <w:iCs/>
          <w:szCs w:val="24"/>
          <w:lang w:val="en-US" w:eastAsia="fr-FR"/>
        </w:rPr>
        <w:t>Africanistes</w:t>
      </w:r>
      <w:proofErr w:type="spellEnd"/>
      <w:r w:rsidR="003F7C2A" w:rsidRPr="00235C19">
        <w:rPr>
          <w:rFonts w:eastAsia="Times New Roman" w:cs="Times New Roman"/>
          <w:szCs w:val="24"/>
          <w:lang w:val="en-US" w:eastAsia="fr-FR"/>
        </w:rPr>
        <w:t>, 48(1), 15-69.</w:t>
      </w:r>
    </w:p>
    <w:p w14:paraId="7A1D3AFF" w14:textId="77777777" w:rsidR="003F7C2A" w:rsidRPr="003F7C2A" w:rsidRDefault="003F7C2A" w:rsidP="00FF3C4D">
      <w:pPr>
        <w:spacing w:after="0" w:line="240" w:lineRule="auto"/>
        <w:ind w:left="284" w:hanging="284"/>
        <w:rPr>
          <w:rFonts w:eastAsia="Times New Roman" w:cs="Times New Roman"/>
          <w:szCs w:val="24"/>
          <w:lang w:val="en-US" w:eastAsia="fr-FR"/>
        </w:rPr>
      </w:pPr>
      <w:proofErr w:type="spellStart"/>
      <w:r w:rsidRPr="00C327A2">
        <w:rPr>
          <w:rFonts w:eastAsia="Times New Roman" w:cs="Times New Roman"/>
          <w:szCs w:val="24"/>
          <w:lang w:val="en-US" w:eastAsia="fr-FR"/>
        </w:rPr>
        <w:t>Chauveau</w:t>
      </w:r>
      <w:proofErr w:type="spellEnd"/>
      <w:r w:rsidRPr="00C327A2">
        <w:rPr>
          <w:rFonts w:eastAsia="Times New Roman" w:cs="Times New Roman"/>
          <w:szCs w:val="24"/>
          <w:lang w:val="en-US" w:eastAsia="fr-FR"/>
        </w:rPr>
        <w:t xml:space="preserve">, J.-P., &amp; Colin, J.-P. (2010). « Customary transfers and land sales in Côte d’Ivoire: Revisiting the embeddedness issue », </w:t>
      </w:r>
      <w:r w:rsidRPr="00C327A2">
        <w:rPr>
          <w:rFonts w:eastAsia="Times New Roman" w:cs="Times New Roman"/>
          <w:i/>
          <w:iCs/>
          <w:szCs w:val="24"/>
          <w:lang w:val="en-US" w:eastAsia="fr-FR"/>
        </w:rPr>
        <w:t>Africa</w:t>
      </w:r>
      <w:r w:rsidR="00FF3C4D">
        <w:rPr>
          <w:rFonts w:eastAsia="Times New Roman" w:cs="Times New Roman"/>
          <w:szCs w:val="24"/>
          <w:lang w:val="en-US" w:eastAsia="fr-FR"/>
        </w:rPr>
        <w:t>, 80(1), 81-</w:t>
      </w:r>
      <w:r w:rsidRPr="00C327A2">
        <w:rPr>
          <w:rFonts w:eastAsia="Times New Roman" w:cs="Times New Roman"/>
          <w:szCs w:val="24"/>
          <w:lang w:val="en-US" w:eastAsia="fr-FR"/>
        </w:rPr>
        <w:t>103.</w:t>
      </w:r>
    </w:p>
    <w:p w14:paraId="4E6D3C2D" w14:textId="77777777" w:rsidR="00FF3C4D" w:rsidRDefault="003F7C2A" w:rsidP="00FF3C4D">
      <w:pPr>
        <w:spacing w:after="0" w:line="240" w:lineRule="auto"/>
        <w:ind w:left="284" w:hanging="284"/>
        <w:rPr>
          <w:rFonts w:eastAsia="Times New Roman" w:cs="Times New Roman"/>
          <w:szCs w:val="24"/>
          <w:lang w:eastAsia="fr-FR"/>
        </w:rPr>
      </w:pPr>
      <w:r w:rsidRPr="00C327A2">
        <w:rPr>
          <w:rFonts w:eastAsia="Times New Roman" w:cs="Times New Roman"/>
          <w:szCs w:val="24"/>
          <w:lang w:eastAsia="fr-FR"/>
        </w:rPr>
        <w:lastRenderedPageBreak/>
        <w:t xml:space="preserve">Colin, J.-P. (2017). « La terre entre production et capitalisation : transformations foncières dans les campagnes ivoiriennes », </w:t>
      </w:r>
      <w:r w:rsidRPr="00C327A2">
        <w:rPr>
          <w:rFonts w:eastAsia="Times New Roman" w:cs="Times New Roman"/>
          <w:i/>
          <w:iCs/>
          <w:szCs w:val="24"/>
          <w:lang w:eastAsia="fr-FR"/>
        </w:rPr>
        <w:t>Revue Tiers Monde</w:t>
      </w:r>
      <w:r w:rsidR="00FF3C4D">
        <w:rPr>
          <w:rFonts w:eastAsia="Times New Roman" w:cs="Times New Roman"/>
          <w:szCs w:val="24"/>
          <w:lang w:eastAsia="fr-FR"/>
        </w:rPr>
        <w:t>, 230(2), 53-</w:t>
      </w:r>
      <w:r w:rsidRPr="00C327A2">
        <w:rPr>
          <w:rFonts w:eastAsia="Times New Roman" w:cs="Times New Roman"/>
          <w:szCs w:val="24"/>
          <w:lang w:eastAsia="fr-FR"/>
        </w:rPr>
        <w:t>74</w:t>
      </w:r>
      <w:r w:rsidR="00FF3C4D">
        <w:rPr>
          <w:rFonts w:eastAsia="Times New Roman" w:cs="Times New Roman"/>
          <w:szCs w:val="24"/>
          <w:lang w:eastAsia="fr-FR"/>
        </w:rPr>
        <w:t>.</w:t>
      </w:r>
    </w:p>
    <w:p w14:paraId="4FAA67A2" w14:textId="77777777" w:rsidR="00FF3C4D" w:rsidRPr="00FF3C4D" w:rsidRDefault="00FF3C4D" w:rsidP="00FF3C4D">
      <w:pPr>
        <w:spacing w:after="0" w:line="240" w:lineRule="auto"/>
        <w:ind w:left="284" w:hanging="284"/>
        <w:rPr>
          <w:rFonts w:eastAsia="Times New Roman" w:cs="Times New Roman"/>
          <w:szCs w:val="24"/>
          <w:lang w:val="en-US" w:eastAsia="fr-FR"/>
        </w:rPr>
      </w:pPr>
      <w:proofErr w:type="spellStart"/>
      <w:r w:rsidRPr="00FF3C4D">
        <w:rPr>
          <w:rFonts w:cs="Times New Roman"/>
          <w:iCs/>
          <w:szCs w:val="24"/>
        </w:rPr>
        <w:t>Dessertine</w:t>
      </w:r>
      <w:proofErr w:type="spellEnd"/>
      <w:r w:rsidRPr="00FF3C4D">
        <w:rPr>
          <w:rFonts w:cs="Times New Roman"/>
          <w:iCs/>
          <w:szCs w:val="24"/>
        </w:rPr>
        <w:t xml:space="preserve">, A., Petit-Roulet, R., Champy, M., et </w:t>
      </w:r>
      <w:proofErr w:type="spellStart"/>
      <w:r w:rsidRPr="00FF3C4D">
        <w:rPr>
          <w:rFonts w:cs="Times New Roman"/>
          <w:iCs/>
          <w:szCs w:val="24"/>
        </w:rPr>
        <w:t>Doumbouya</w:t>
      </w:r>
      <w:proofErr w:type="spellEnd"/>
      <w:r w:rsidRPr="00FF3C4D">
        <w:rPr>
          <w:rFonts w:cs="Times New Roman"/>
          <w:iCs/>
          <w:szCs w:val="24"/>
        </w:rPr>
        <w:t xml:space="preserve">, I., K. (2024). </w:t>
      </w:r>
      <w:r w:rsidRPr="00FF3C4D">
        <w:rPr>
          <w:rFonts w:cs="Times New Roman"/>
          <w:szCs w:val="24"/>
          <w:lang w:val="en-US"/>
        </w:rPr>
        <w:t xml:space="preserve">« </w:t>
      </w:r>
      <w:r w:rsidRPr="00FF3C4D">
        <w:rPr>
          <w:rFonts w:cs="Times New Roman"/>
          <w:iCs/>
          <w:szCs w:val="24"/>
          <w:lang w:val="en-US"/>
        </w:rPr>
        <w:t>The governance of ASGM in Guinea and Côte d’Ivoire: (</w:t>
      </w:r>
      <w:proofErr w:type="spellStart"/>
      <w:r w:rsidRPr="00FF3C4D">
        <w:rPr>
          <w:rFonts w:cs="Times New Roman"/>
          <w:iCs/>
          <w:szCs w:val="24"/>
          <w:lang w:val="en-US"/>
        </w:rPr>
        <w:t>im</w:t>
      </w:r>
      <w:proofErr w:type="spellEnd"/>
      <w:r w:rsidRPr="00FF3C4D">
        <w:rPr>
          <w:rFonts w:cs="Times New Roman"/>
          <w:iCs/>
          <w:szCs w:val="24"/>
          <w:lang w:val="en-US"/>
        </w:rPr>
        <w:t xml:space="preserve">)mobility, territory, and technological change », </w:t>
      </w:r>
      <w:r w:rsidRPr="00FF3C4D">
        <w:rPr>
          <w:rFonts w:cs="Times New Roman"/>
          <w:i/>
          <w:iCs/>
          <w:szCs w:val="24"/>
          <w:lang w:val="en-US"/>
        </w:rPr>
        <w:t>in</w:t>
      </w:r>
      <w:r w:rsidRPr="00FF3C4D">
        <w:rPr>
          <w:rFonts w:cs="Times New Roman"/>
          <w:iCs/>
          <w:szCs w:val="24"/>
          <w:lang w:val="en-US"/>
        </w:rPr>
        <w:t xml:space="preserve"> Castillo Guzmán, G. et al. (ed.) </w:t>
      </w:r>
      <w:r w:rsidRPr="00FF3C4D">
        <w:rPr>
          <w:rFonts w:cs="Times New Roman"/>
          <w:i/>
          <w:iCs/>
          <w:szCs w:val="24"/>
          <w:lang w:val="en-US"/>
        </w:rPr>
        <w:t>Mining, Mobility, and Social Change in the Global South</w:t>
      </w:r>
      <w:r>
        <w:rPr>
          <w:rFonts w:cs="Times New Roman"/>
          <w:iCs/>
          <w:szCs w:val="24"/>
          <w:lang w:val="en-US"/>
        </w:rPr>
        <w:t xml:space="preserve">, Routledge, p. </w:t>
      </w:r>
      <w:r w:rsidRPr="00FF3C4D">
        <w:rPr>
          <w:rFonts w:cs="Times New Roman"/>
          <w:szCs w:val="24"/>
          <w:lang w:val="en-US"/>
        </w:rPr>
        <w:t>123</w:t>
      </w:r>
      <w:r w:rsidRPr="00FF3C4D">
        <w:rPr>
          <w:rFonts w:cs="Times New Roman"/>
          <w:iCs/>
          <w:szCs w:val="24"/>
          <w:lang w:val="en-US"/>
        </w:rPr>
        <w:t>-143.</w:t>
      </w:r>
    </w:p>
    <w:p w14:paraId="57569129" w14:textId="77777777" w:rsidR="00FF3C4D" w:rsidRPr="00E85FC7" w:rsidRDefault="00235C19" w:rsidP="00D97D2A">
      <w:pPr>
        <w:spacing w:after="0" w:line="240" w:lineRule="auto"/>
        <w:ind w:left="284" w:hanging="284"/>
        <w:rPr>
          <w:lang w:val="en-US"/>
        </w:rPr>
      </w:pPr>
      <w:proofErr w:type="spellStart"/>
      <w:r>
        <w:rPr>
          <w:lang w:val="en-US"/>
        </w:rPr>
        <w:t>G</w:t>
      </w:r>
      <w:r w:rsidRPr="00235C19">
        <w:rPr>
          <w:lang w:val="en-US"/>
        </w:rPr>
        <w:t>rajales</w:t>
      </w:r>
      <w:proofErr w:type="spellEnd"/>
      <w:r w:rsidRPr="00235C19">
        <w:rPr>
          <w:lang w:val="en-US"/>
        </w:rPr>
        <w:t xml:space="preserve">, J. (2020). </w:t>
      </w:r>
      <w:r w:rsidRPr="00FF3C4D">
        <w:rPr>
          <w:rStyle w:val="Accentuation"/>
          <w:i w:val="0"/>
          <w:lang w:val="en-US"/>
        </w:rPr>
        <w:t>From war to wealth? Land policies and the peace economy in Côte d’Ivoire</w:t>
      </w:r>
      <w:r w:rsidRPr="00FF3C4D">
        <w:rPr>
          <w:i/>
          <w:lang w:val="en-US"/>
        </w:rPr>
        <w:t>. Review of African Political Economy</w:t>
      </w:r>
      <w:r w:rsidR="00FF3C4D" w:rsidRPr="00FF3C4D">
        <w:rPr>
          <w:lang w:val="en-US"/>
        </w:rPr>
        <w:t>, 47(163), 1-</w:t>
      </w:r>
      <w:r w:rsidRPr="00FF3C4D">
        <w:rPr>
          <w:lang w:val="en-US"/>
        </w:rPr>
        <w:t xml:space="preserve">17. </w:t>
      </w:r>
      <w:hyperlink r:id="rId15" w:tgtFrame="_new" w:history="1">
        <w:r w:rsidRPr="00E85FC7">
          <w:rPr>
            <w:rStyle w:val="Lienhypertexte"/>
            <w:lang w:val="en-US"/>
          </w:rPr>
          <w:t>https://doi.org/10.1080/03056244.2020.1731683</w:t>
        </w:r>
      </w:hyperlink>
    </w:p>
    <w:p w14:paraId="2F0BAD88" w14:textId="77777777" w:rsidR="00FF3C4D" w:rsidRDefault="00FF3C4D" w:rsidP="00FF3C4D">
      <w:pPr>
        <w:spacing w:after="0" w:line="240" w:lineRule="auto"/>
        <w:ind w:left="284" w:hanging="284"/>
        <w:rPr>
          <w:rFonts w:eastAsia="Times New Roman" w:cs="Times New Roman"/>
          <w:szCs w:val="24"/>
          <w:lang w:eastAsia="fr-FR"/>
        </w:rPr>
      </w:pPr>
      <w:proofErr w:type="spellStart"/>
      <w:r w:rsidRPr="00E85FC7">
        <w:rPr>
          <w:rFonts w:eastAsia="Times New Roman" w:cs="Times New Roman"/>
          <w:szCs w:val="24"/>
          <w:lang w:val="en-US" w:eastAsia="fr-FR"/>
        </w:rPr>
        <w:t>Guipié</w:t>
      </w:r>
      <w:proofErr w:type="spellEnd"/>
      <w:r w:rsidRPr="00E85FC7">
        <w:rPr>
          <w:rFonts w:eastAsia="Times New Roman" w:cs="Times New Roman"/>
          <w:szCs w:val="24"/>
          <w:lang w:val="en-US" w:eastAsia="fr-FR"/>
        </w:rPr>
        <w:t xml:space="preserve">, G. E. M. (2024). </w:t>
      </w:r>
      <w:r w:rsidRPr="00945630">
        <w:rPr>
          <w:rFonts w:eastAsia="Times New Roman" w:cs="Times New Roman"/>
          <w:szCs w:val="24"/>
          <w:lang w:eastAsia="fr-FR"/>
        </w:rPr>
        <w:t>Les deux visages de Janus de l'orpaillage illégal en Côte d'Ivoire : entre prospérité</w:t>
      </w:r>
      <w:r>
        <w:rPr>
          <w:rFonts w:eastAsia="Times New Roman" w:cs="Times New Roman"/>
          <w:szCs w:val="24"/>
          <w:lang w:eastAsia="fr-FR"/>
        </w:rPr>
        <w:t xml:space="preserve"> relative et insécurité humaine</w:t>
      </w:r>
      <w:r w:rsidRPr="00945630">
        <w:rPr>
          <w:rFonts w:eastAsia="Times New Roman" w:cs="Times New Roman"/>
          <w:szCs w:val="24"/>
          <w:lang w:eastAsia="fr-FR"/>
        </w:rPr>
        <w:t xml:space="preserve">. </w:t>
      </w:r>
      <w:r w:rsidRPr="00945630">
        <w:rPr>
          <w:rFonts w:eastAsia="Times New Roman" w:cs="Times New Roman"/>
          <w:i/>
          <w:iCs/>
          <w:szCs w:val="24"/>
          <w:lang w:eastAsia="fr-FR"/>
        </w:rPr>
        <w:t>Afrique Contemporaine</w:t>
      </w:r>
      <w:r>
        <w:rPr>
          <w:rFonts w:eastAsia="Times New Roman" w:cs="Times New Roman"/>
          <w:szCs w:val="24"/>
          <w:lang w:eastAsia="fr-FR"/>
        </w:rPr>
        <w:t>, 277</w:t>
      </w:r>
      <w:r w:rsidRPr="00945630">
        <w:rPr>
          <w:rFonts w:eastAsia="Times New Roman" w:cs="Times New Roman"/>
          <w:szCs w:val="24"/>
          <w:lang w:eastAsia="fr-FR"/>
        </w:rPr>
        <w:t>, 103-122.</w:t>
      </w:r>
    </w:p>
    <w:p w14:paraId="6E0D19DD" w14:textId="77777777" w:rsidR="00D97D2A" w:rsidRDefault="00D97D2A" w:rsidP="00FF3C4D">
      <w:pPr>
        <w:spacing w:after="0" w:line="240" w:lineRule="auto"/>
        <w:ind w:left="284" w:hanging="284"/>
      </w:pPr>
      <w:proofErr w:type="spellStart"/>
      <w:r w:rsidRPr="00EA3FF5">
        <w:t>Hilson</w:t>
      </w:r>
      <w:proofErr w:type="spellEnd"/>
      <w:r w:rsidRPr="00EA3FF5">
        <w:t xml:space="preserve">, G., </w:t>
      </w:r>
      <w:proofErr w:type="spellStart"/>
      <w:r w:rsidRPr="00EA3FF5">
        <w:t>Hilson</w:t>
      </w:r>
      <w:proofErr w:type="spellEnd"/>
      <w:r w:rsidRPr="00EA3FF5">
        <w:t xml:space="preserve">, A., </w:t>
      </w:r>
      <w:proofErr w:type="spellStart"/>
      <w:r w:rsidRPr="00EA3FF5">
        <w:t>Maconachie</w:t>
      </w:r>
      <w:proofErr w:type="spellEnd"/>
      <w:r w:rsidRPr="00EA3FF5">
        <w:t xml:space="preserve">, R., &amp; </w:t>
      </w:r>
      <w:proofErr w:type="spellStart"/>
      <w:r w:rsidRPr="00EA3FF5">
        <w:t>McQuilken</w:t>
      </w:r>
      <w:proofErr w:type="spellEnd"/>
      <w:r w:rsidRPr="00EA3FF5">
        <w:t xml:space="preserve">, J. (2017). </w:t>
      </w:r>
      <w:r w:rsidRPr="00D97D2A">
        <w:rPr>
          <w:lang w:val="en-US"/>
        </w:rPr>
        <w:t xml:space="preserve">Artisanal and small-scale mining (ASM) in sub-Saharan Africa: Re-conceptualizing formalization and ‘illegal’ activity. </w:t>
      </w:r>
      <w:proofErr w:type="spellStart"/>
      <w:r>
        <w:rPr>
          <w:rStyle w:val="Accentuation"/>
        </w:rPr>
        <w:t>Geoforum</w:t>
      </w:r>
      <w:proofErr w:type="spellEnd"/>
      <w:r>
        <w:t xml:space="preserve">, 83, 80-90. </w:t>
      </w:r>
      <w:hyperlink r:id="rId16" w:tgtFrame="_new" w:history="1">
        <w:r>
          <w:rPr>
            <w:rStyle w:val="Lienhypertexte"/>
          </w:rPr>
          <w:t>https://doi.org/10.1016/j.geoforum.2017.05.004</w:t>
        </w:r>
      </w:hyperlink>
    </w:p>
    <w:p w14:paraId="07A61CDD" w14:textId="77777777" w:rsidR="000B12F4" w:rsidRPr="00F61E72" w:rsidRDefault="000B12F4" w:rsidP="00FF3C4D">
      <w:pPr>
        <w:spacing w:after="0" w:line="240" w:lineRule="auto"/>
        <w:ind w:left="284" w:hanging="284"/>
        <w:rPr>
          <w:rFonts w:eastAsia="Times New Roman" w:cs="Times New Roman"/>
          <w:szCs w:val="24"/>
          <w:lang w:val="en-US" w:eastAsia="fr-FR"/>
        </w:rPr>
      </w:pPr>
      <w:r w:rsidRPr="00FF3C4D">
        <w:rPr>
          <w:rFonts w:eastAsia="Times New Roman" w:cs="Times New Roman"/>
          <w:bCs/>
          <w:szCs w:val="24"/>
          <w:lang w:eastAsia="fr-FR"/>
        </w:rPr>
        <w:t xml:space="preserve">Konan, K. H. (2022). </w:t>
      </w:r>
      <w:r w:rsidRPr="00FF3C4D">
        <w:rPr>
          <w:rFonts w:eastAsia="Times New Roman" w:cs="Times New Roman"/>
          <w:bCs/>
          <w:iCs/>
          <w:szCs w:val="24"/>
          <w:lang w:eastAsia="fr-FR"/>
        </w:rPr>
        <w:t>La gouvernance de l’orpaillage clandestin dans les localités ivoiriennes frontalières du Mali et du Burkina Faso</w:t>
      </w:r>
      <w:r w:rsidRPr="00FF3C4D">
        <w:rPr>
          <w:rFonts w:eastAsia="Times New Roman" w:cs="Times New Roman"/>
          <w:bCs/>
          <w:szCs w:val="24"/>
          <w:lang w:eastAsia="fr-FR"/>
        </w:rPr>
        <w:t xml:space="preserve">. </w:t>
      </w:r>
      <w:proofErr w:type="spellStart"/>
      <w:r w:rsidRPr="00F61E72">
        <w:rPr>
          <w:rFonts w:eastAsia="Times New Roman" w:cs="Times New Roman"/>
          <w:bCs/>
          <w:i/>
          <w:szCs w:val="24"/>
          <w:lang w:val="en-US" w:eastAsia="fr-FR"/>
        </w:rPr>
        <w:t>EchoGéo</w:t>
      </w:r>
      <w:proofErr w:type="spellEnd"/>
      <w:r w:rsidR="004B5305" w:rsidRPr="00F61E72">
        <w:rPr>
          <w:rFonts w:eastAsia="Times New Roman" w:cs="Times New Roman"/>
          <w:bCs/>
          <w:szCs w:val="24"/>
          <w:lang w:val="en-US" w:eastAsia="fr-FR"/>
        </w:rPr>
        <w:t xml:space="preserve">, 62. </w:t>
      </w:r>
      <w:hyperlink r:id="rId17" w:history="1">
        <w:r w:rsidR="004B5305" w:rsidRPr="00F61E72">
          <w:rPr>
            <w:rStyle w:val="Lienhypertexte"/>
            <w:lang w:val="en-US"/>
          </w:rPr>
          <w:t>https://doi.org/10.4000/echogeo.24335</w:t>
        </w:r>
      </w:hyperlink>
      <w:r w:rsidR="004B5305" w:rsidRPr="00F61E72">
        <w:rPr>
          <w:lang w:val="en-US"/>
        </w:rPr>
        <w:t xml:space="preserve"> </w:t>
      </w:r>
    </w:p>
    <w:p w14:paraId="50A56F79" w14:textId="52D352BC" w:rsidR="008C3992" w:rsidRPr="008C3992" w:rsidRDefault="008C3992" w:rsidP="00FF3C4D">
      <w:pPr>
        <w:spacing w:after="0" w:line="240" w:lineRule="auto"/>
        <w:ind w:left="284" w:hanging="284"/>
        <w:rPr>
          <w:rFonts w:eastAsia="Times New Roman" w:cs="Times New Roman"/>
          <w:szCs w:val="24"/>
          <w:lang w:val="en-US" w:eastAsia="fr-FR"/>
        </w:rPr>
      </w:pPr>
      <w:r w:rsidRPr="008C3992">
        <w:rPr>
          <w:rFonts w:eastAsia="Times New Roman" w:cs="Times New Roman"/>
          <w:szCs w:val="24"/>
          <w:lang w:val="en-US" w:eastAsia="fr-FR"/>
        </w:rPr>
        <w:t xml:space="preserve">McGovern, Mike. (2011) </w:t>
      </w:r>
      <w:r w:rsidRPr="008C3992">
        <w:rPr>
          <w:rFonts w:eastAsia="Times New Roman" w:cs="Times New Roman"/>
          <w:i/>
          <w:iCs/>
          <w:szCs w:val="24"/>
          <w:lang w:val="en-US" w:eastAsia="fr-FR"/>
        </w:rPr>
        <w:t>Making War in Côte d'Ivoire</w:t>
      </w:r>
      <w:r w:rsidRPr="008C3992">
        <w:rPr>
          <w:rFonts w:eastAsia="Times New Roman" w:cs="Times New Roman"/>
          <w:szCs w:val="24"/>
          <w:lang w:val="en-US" w:eastAsia="fr-FR"/>
        </w:rPr>
        <w:t>. Chicago: University of Chicago press</w:t>
      </w:r>
      <w:r>
        <w:rPr>
          <w:rFonts w:eastAsia="Times New Roman" w:cs="Times New Roman"/>
          <w:szCs w:val="24"/>
          <w:lang w:val="en-US" w:eastAsia="fr-FR"/>
        </w:rPr>
        <w:t>.</w:t>
      </w:r>
    </w:p>
    <w:p w14:paraId="0AADFB38" w14:textId="26CE3A75" w:rsidR="00304802" w:rsidRDefault="00304802" w:rsidP="00FF3C4D">
      <w:pPr>
        <w:spacing w:after="0" w:line="240" w:lineRule="auto"/>
        <w:ind w:left="284" w:hanging="284"/>
        <w:rPr>
          <w:rFonts w:eastAsia="Times New Roman" w:cs="Times New Roman"/>
          <w:szCs w:val="24"/>
          <w:lang w:eastAsia="fr-FR"/>
        </w:rPr>
      </w:pPr>
      <w:proofErr w:type="spellStart"/>
      <w:r w:rsidRPr="00304802">
        <w:rPr>
          <w:rFonts w:eastAsia="Times New Roman" w:cs="Times New Roman"/>
          <w:szCs w:val="24"/>
          <w:lang w:eastAsia="fr-FR"/>
        </w:rPr>
        <w:t>Mbodj</w:t>
      </w:r>
      <w:proofErr w:type="spellEnd"/>
      <w:r w:rsidRPr="00304802">
        <w:rPr>
          <w:rFonts w:eastAsia="Times New Roman" w:cs="Times New Roman"/>
          <w:szCs w:val="24"/>
          <w:lang w:eastAsia="fr-FR"/>
        </w:rPr>
        <w:t xml:space="preserve">, F. B. (2011). </w:t>
      </w:r>
      <w:r w:rsidRPr="00304802">
        <w:rPr>
          <w:rFonts w:eastAsia="Times New Roman" w:cs="Times New Roman"/>
          <w:i/>
          <w:iCs/>
          <w:szCs w:val="24"/>
          <w:lang w:eastAsia="fr-FR"/>
        </w:rPr>
        <w:t>Boom aurifère à l’est du Sénégal, à l’ouest du Mali et au nord-est de la Guinée : mutations socio-économiques et spatiales d’anciennes marges géographiques et économiques</w:t>
      </w:r>
      <w:r w:rsidRPr="00304802">
        <w:rPr>
          <w:rFonts w:eastAsia="Times New Roman" w:cs="Times New Roman"/>
          <w:szCs w:val="24"/>
          <w:lang w:eastAsia="fr-FR"/>
        </w:rPr>
        <w:t xml:space="preserve"> (Thèse de doctorat). Université Paris 1 Panthéon-Sorbonne / Université Gaston Berger de Saint-Louis.</w:t>
      </w:r>
    </w:p>
    <w:p w14:paraId="4F8B37E8" w14:textId="77777777" w:rsidR="00D97D2A" w:rsidRPr="00D97D2A" w:rsidRDefault="00D97D2A" w:rsidP="00FF3C4D">
      <w:pPr>
        <w:spacing w:after="0" w:line="240" w:lineRule="auto"/>
        <w:ind w:left="284" w:hanging="284"/>
        <w:rPr>
          <w:rFonts w:eastAsia="Times New Roman" w:cs="Times New Roman"/>
          <w:szCs w:val="24"/>
          <w:lang w:val="en-US" w:eastAsia="fr-FR"/>
        </w:rPr>
      </w:pPr>
      <w:proofErr w:type="spellStart"/>
      <w:r>
        <w:rPr>
          <w:lang w:val="en-US"/>
        </w:rPr>
        <w:t>Lanzano</w:t>
      </w:r>
      <w:proofErr w:type="spellEnd"/>
      <w:r>
        <w:rPr>
          <w:lang w:val="en-US"/>
        </w:rPr>
        <w:t>, C. (2018</w:t>
      </w:r>
      <w:r w:rsidRPr="00D97D2A">
        <w:rPr>
          <w:lang w:val="en-US"/>
        </w:rPr>
        <w:t xml:space="preserve">). Gold digging and the politics of time: Changing </w:t>
      </w:r>
      <w:proofErr w:type="spellStart"/>
      <w:r w:rsidRPr="00D97D2A">
        <w:rPr>
          <w:lang w:val="en-US"/>
        </w:rPr>
        <w:t>timescapes</w:t>
      </w:r>
      <w:proofErr w:type="spellEnd"/>
      <w:r w:rsidRPr="00D97D2A">
        <w:rPr>
          <w:lang w:val="en-US"/>
        </w:rPr>
        <w:t xml:space="preserve"> of artisanal mining in West Africa. </w:t>
      </w:r>
      <w:r w:rsidRPr="00D97D2A">
        <w:rPr>
          <w:rStyle w:val="Accentuation"/>
          <w:lang w:val="en-US"/>
        </w:rPr>
        <w:t>The Extractive Industries and Society</w:t>
      </w:r>
      <w:r>
        <w:rPr>
          <w:lang w:val="en-US"/>
        </w:rPr>
        <w:t xml:space="preserve">, 5(2), 253-259. </w:t>
      </w:r>
      <w:hyperlink r:id="rId18" w:tgtFrame="_blank" w:tooltip="Persistent link using digital object identifier" w:history="1">
        <w:r w:rsidRPr="00286F0B">
          <w:rPr>
            <w:rStyle w:val="anchor-text"/>
            <w:color w:val="0000FF"/>
            <w:u w:val="single"/>
            <w:lang w:val="en-US"/>
          </w:rPr>
          <w:t>https://doi.org/10.1016/j.exis.2018.02.006</w:t>
        </w:r>
      </w:hyperlink>
    </w:p>
    <w:p w14:paraId="2AECB1B3" w14:textId="77777777" w:rsidR="004B5305" w:rsidRPr="00286F0B" w:rsidRDefault="00304802" w:rsidP="004B5305">
      <w:pPr>
        <w:spacing w:after="0" w:line="240" w:lineRule="auto"/>
        <w:ind w:left="284" w:hanging="284"/>
        <w:rPr>
          <w:lang w:val="en-US"/>
        </w:rPr>
      </w:pPr>
      <w:proofErr w:type="spellStart"/>
      <w:r w:rsidRPr="00304802">
        <w:rPr>
          <w:rFonts w:eastAsia="Times New Roman" w:cs="Times New Roman"/>
          <w:szCs w:val="24"/>
          <w:lang w:val="en-US" w:eastAsia="fr-FR"/>
        </w:rPr>
        <w:t>Luning</w:t>
      </w:r>
      <w:proofErr w:type="spellEnd"/>
      <w:r w:rsidRPr="00304802">
        <w:rPr>
          <w:rFonts w:eastAsia="Times New Roman" w:cs="Times New Roman"/>
          <w:szCs w:val="24"/>
          <w:lang w:val="en-US" w:eastAsia="fr-FR"/>
        </w:rPr>
        <w:t xml:space="preserve">, S., &amp; </w:t>
      </w:r>
      <w:proofErr w:type="spellStart"/>
      <w:r w:rsidRPr="00304802">
        <w:rPr>
          <w:rFonts w:eastAsia="Times New Roman" w:cs="Times New Roman"/>
          <w:szCs w:val="24"/>
          <w:lang w:val="en-US" w:eastAsia="fr-FR"/>
        </w:rPr>
        <w:t>Pijpers</w:t>
      </w:r>
      <w:proofErr w:type="spellEnd"/>
      <w:r w:rsidRPr="00304802">
        <w:rPr>
          <w:rFonts w:eastAsia="Times New Roman" w:cs="Times New Roman"/>
          <w:szCs w:val="24"/>
          <w:lang w:val="en-US" w:eastAsia="fr-FR"/>
        </w:rPr>
        <w:t xml:space="preserve">, R. J. (2017). Governing access to gold in Ghana: In-depth geopolitics on mining concessions. </w:t>
      </w:r>
      <w:r w:rsidRPr="00286F0B">
        <w:rPr>
          <w:i/>
          <w:lang w:val="en-US"/>
        </w:rPr>
        <w:t>Africa</w:t>
      </w:r>
      <w:r w:rsidR="00FF3C4D" w:rsidRPr="00286F0B">
        <w:rPr>
          <w:lang w:val="en-US"/>
        </w:rPr>
        <w:t>, 87(4), 758-</w:t>
      </w:r>
      <w:r w:rsidRPr="00286F0B">
        <w:rPr>
          <w:lang w:val="en-US"/>
        </w:rPr>
        <w:t xml:space="preserve">779. </w:t>
      </w:r>
      <w:hyperlink r:id="rId19" w:history="1">
        <w:r w:rsidR="004B5305" w:rsidRPr="00286F0B">
          <w:rPr>
            <w:rStyle w:val="Lienhypertexte"/>
            <w:lang w:val="en-US"/>
          </w:rPr>
          <w:t>https://doi.org/10.1017/S0001972017000663</w:t>
        </w:r>
      </w:hyperlink>
    </w:p>
    <w:p w14:paraId="5569E184" w14:textId="77777777" w:rsidR="00D97D2A" w:rsidRDefault="00D97D2A" w:rsidP="004B5305">
      <w:pPr>
        <w:spacing w:after="0" w:line="240" w:lineRule="auto"/>
        <w:ind w:left="284" w:hanging="284"/>
        <w:rPr>
          <w:rFonts w:eastAsia="Times New Roman" w:cs="Times New Roman"/>
          <w:szCs w:val="24"/>
          <w:lang w:eastAsia="fr-FR"/>
        </w:rPr>
      </w:pPr>
      <w:r w:rsidRPr="00D97D2A">
        <w:rPr>
          <w:lang w:val="en-US"/>
        </w:rPr>
        <w:t xml:space="preserve">Osei, L., Yeboah, T., </w:t>
      </w:r>
      <w:proofErr w:type="spellStart"/>
      <w:r w:rsidRPr="00D97D2A">
        <w:rPr>
          <w:lang w:val="en-US"/>
        </w:rPr>
        <w:t>Kumi</w:t>
      </w:r>
      <w:proofErr w:type="spellEnd"/>
      <w:r w:rsidRPr="00D97D2A">
        <w:rPr>
          <w:lang w:val="en-US"/>
        </w:rPr>
        <w:t xml:space="preserve">, E., &amp; </w:t>
      </w:r>
      <w:proofErr w:type="spellStart"/>
      <w:r w:rsidRPr="00D97D2A">
        <w:rPr>
          <w:lang w:val="en-US"/>
        </w:rPr>
        <w:t>Antoh</w:t>
      </w:r>
      <w:proofErr w:type="spellEnd"/>
      <w:r w:rsidRPr="00D97D2A">
        <w:rPr>
          <w:lang w:val="en-US"/>
        </w:rPr>
        <w:t xml:space="preserve">, E. F. (2021). </w:t>
      </w:r>
      <w:r w:rsidRPr="00D97D2A">
        <w:rPr>
          <w:rStyle w:val="relative"/>
          <w:lang w:val="en-US"/>
        </w:rPr>
        <w:t xml:space="preserve">Government's ban on Artisanal and Small-Scale Mining, youth livelihoods and imagined futures in Ghana. </w:t>
      </w:r>
      <w:proofErr w:type="spellStart"/>
      <w:r>
        <w:rPr>
          <w:rStyle w:val="Accentuation"/>
        </w:rPr>
        <w:t>Resources</w:t>
      </w:r>
      <w:proofErr w:type="spellEnd"/>
      <w:r>
        <w:rPr>
          <w:rStyle w:val="Accentuation"/>
        </w:rPr>
        <w:t xml:space="preserve"> Policy</w:t>
      </w:r>
      <w:r>
        <w:rPr>
          <w:rStyle w:val="relative"/>
        </w:rPr>
        <w:t xml:space="preserve">, 71, 102008. </w:t>
      </w:r>
      <w:hyperlink r:id="rId20" w:tgtFrame="_new" w:history="1">
        <w:r>
          <w:rPr>
            <w:rStyle w:val="Lienhypertexte"/>
          </w:rPr>
          <w:t>https://doi.org/10.1016/j.resourpol.2021.102008</w:t>
        </w:r>
      </w:hyperlink>
    </w:p>
    <w:p w14:paraId="59FD555A" w14:textId="77777777" w:rsidR="004B5305" w:rsidRDefault="004B5305" w:rsidP="004B5305">
      <w:pPr>
        <w:spacing w:after="0" w:line="240" w:lineRule="auto"/>
        <w:ind w:left="284" w:hanging="284"/>
      </w:pPr>
      <w:proofErr w:type="spellStart"/>
      <w:r>
        <w:t>Soko</w:t>
      </w:r>
      <w:proofErr w:type="spellEnd"/>
      <w:r>
        <w:t xml:space="preserve">, C. (2019). L’économie minière de l’orpaillage artisanal dans les sociétés post-conflit : jeux des acteurs et enjeux de développement et de coopération internationale. Étude de cas en Côte d’Ivoire. </w:t>
      </w:r>
      <w:r>
        <w:rPr>
          <w:i/>
          <w:iCs/>
        </w:rPr>
        <w:t>Revue Organisations &amp; Territoires</w:t>
      </w:r>
      <w:r>
        <w:t xml:space="preserve">, </w:t>
      </w:r>
      <w:r w:rsidRPr="004B5305">
        <w:rPr>
          <w:iCs/>
        </w:rPr>
        <w:t>28</w:t>
      </w:r>
      <w:r>
        <w:t xml:space="preserve">(1), 61-79. </w:t>
      </w:r>
      <w:hyperlink r:id="rId21" w:history="1">
        <w:r w:rsidRPr="007D6580">
          <w:rPr>
            <w:rStyle w:val="Lienhypertexte"/>
          </w:rPr>
          <w:t>https://doi.org/10.1522/revueot.v28n1.1023</w:t>
        </w:r>
      </w:hyperlink>
    </w:p>
    <w:p w14:paraId="17A08D87" w14:textId="77777777" w:rsidR="00385157" w:rsidRPr="00286F0B" w:rsidRDefault="004B5305" w:rsidP="00385157">
      <w:pPr>
        <w:spacing w:after="0" w:line="240" w:lineRule="auto"/>
        <w:ind w:left="284" w:hanging="284"/>
        <w:rPr>
          <w:lang w:val="en-US"/>
        </w:rPr>
      </w:pPr>
      <w:r>
        <w:rPr>
          <w:rFonts w:eastAsia="Times New Roman" w:cs="Times New Roman"/>
          <w:bCs/>
          <w:szCs w:val="24"/>
          <w:lang w:eastAsia="fr-FR"/>
        </w:rPr>
        <w:t>Traoré, A. (2023</w:t>
      </w:r>
      <w:r w:rsidR="000B12F4" w:rsidRPr="00FF3C4D">
        <w:rPr>
          <w:rFonts w:eastAsia="Times New Roman" w:cs="Times New Roman"/>
          <w:bCs/>
          <w:szCs w:val="24"/>
          <w:lang w:eastAsia="fr-FR"/>
        </w:rPr>
        <w:t xml:space="preserve">). </w:t>
      </w:r>
      <w:r w:rsidR="000B12F4" w:rsidRPr="00FF3C4D">
        <w:rPr>
          <w:rFonts w:eastAsia="Times New Roman" w:cs="Times New Roman"/>
          <w:bCs/>
          <w:iCs/>
          <w:szCs w:val="24"/>
          <w:lang w:eastAsia="fr-FR"/>
        </w:rPr>
        <w:t xml:space="preserve">L'orpaillage informel dans le village de </w:t>
      </w:r>
      <w:proofErr w:type="spellStart"/>
      <w:r w:rsidR="000B12F4" w:rsidRPr="00FF3C4D">
        <w:rPr>
          <w:rFonts w:eastAsia="Times New Roman" w:cs="Times New Roman"/>
          <w:bCs/>
          <w:iCs/>
          <w:szCs w:val="24"/>
          <w:lang w:eastAsia="fr-FR"/>
        </w:rPr>
        <w:t>Sran</w:t>
      </w:r>
      <w:proofErr w:type="spellEnd"/>
      <w:r w:rsidR="000B12F4" w:rsidRPr="00FF3C4D">
        <w:rPr>
          <w:rFonts w:eastAsia="Times New Roman" w:cs="Times New Roman"/>
          <w:bCs/>
          <w:iCs/>
          <w:szCs w:val="24"/>
          <w:lang w:eastAsia="fr-FR"/>
        </w:rPr>
        <w:t xml:space="preserve"> </w:t>
      </w:r>
      <w:proofErr w:type="spellStart"/>
      <w:r w:rsidR="000B12F4" w:rsidRPr="00FF3C4D">
        <w:rPr>
          <w:rFonts w:eastAsia="Times New Roman" w:cs="Times New Roman"/>
          <w:bCs/>
          <w:iCs/>
          <w:szCs w:val="24"/>
          <w:lang w:eastAsia="fr-FR"/>
        </w:rPr>
        <w:t>Belakro</w:t>
      </w:r>
      <w:proofErr w:type="spellEnd"/>
      <w:r w:rsidR="000B12F4" w:rsidRPr="00FF3C4D">
        <w:rPr>
          <w:rFonts w:eastAsia="Times New Roman" w:cs="Times New Roman"/>
          <w:bCs/>
          <w:iCs/>
          <w:szCs w:val="24"/>
          <w:lang w:eastAsia="fr-FR"/>
        </w:rPr>
        <w:t xml:space="preserve"> en Côte d'Ivoire</w:t>
      </w:r>
      <w:r w:rsidR="000B12F4" w:rsidRPr="00FF3C4D">
        <w:rPr>
          <w:rFonts w:eastAsia="Times New Roman" w:cs="Times New Roman"/>
          <w:bCs/>
          <w:szCs w:val="24"/>
          <w:lang w:eastAsia="fr-FR"/>
        </w:rPr>
        <w:t xml:space="preserve">. </w:t>
      </w:r>
      <w:r w:rsidR="000B12F4" w:rsidRPr="00286F0B">
        <w:rPr>
          <w:i/>
          <w:lang w:val="en-US"/>
        </w:rPr>
        <w:t>Revue</w:t>
      </w:r>
      <w:r w:rsidRPr="00286F0B">
        <w:rPr>
          <w:i/>
          <w:lang w:val="en-US"/>
        </w:rPr>
        <w:t xml:space="preserve"> </w:t>
      </w:r>
      <w:proofErr w:type="spellStart"/>
      <w:r w:rsidRPr="00286F0B">
        <w:rPr>
          <w:i/>
          <w:lang w:val="en-US"/>
        </w:rPr>
        <w:t>internationale</w:t>
      </w:r>
      <w:proofErr w:type="spellEnd"/>
      <w:r w:rsidRPr="00286F0B">
        <w:rPr>
          <w:i/>
          <w:lang w:val="en-US"/>
        </w:rPr>
        <w:t xml:space="preserve"> </w:t>
      </w:r>
      <w:proofErr w:type="spellStart"/>
      <w:r w:rsidRPr="00286F0B">
        <w:rPr>
          <w:i/>
          <w:lang w:val="en-US"/>
        </w:rPr>
        <w:t>Dô</w:t>
      </w:r>
      <w:r w:rsidR="000B12F4" w:rsidRPr="00286F0B">
        <w:rPr>
          <w:i/>
          <w:lang w:val="en-US"/>
        </w:rPr>
        <w:t>nni</w:t>
      </w:r>
      <w:proofErr w:type="spellEnd"/>
      <w:r w:rsidRPr="00286F0B">
        <w:rPr>
          <w:lang w:val="en-US"/>
        </w:rPr>
        <w:t>, 3(1), 37-48</w:t>
      </w:r>
      <w:r w:rsidR="000B12F4" w:rsidRPr="00286F0B">
        <w:rPr>
          <w:lang w:val="en-US"/>
        </w:rPr>
        <w:t>.</w:t>
      </w:r>
    </w:p>
    <w:p w14:paraId="3E70BFFA" w14:textId="22FFFA91" w:rsidR="00F67407" w:rsidRPr="00385157" w:rsidRDefault="00F67407" w:rsidP="00385157">
      <w:pPr>
        <w:spacing w:after="0" w:line="240" w:lineRule="auto"/>
        <w:ind w:left="284" w:hanging="284"/>
        <w:rPr>
          <w:rFonts w:eastAsia="Times New Roman" w:cs="Times New Roman"/>
          <w:bCs/>
          <w:szCs w:val="24"/>
          <w:lang w:val="en-US" w:eastAsia="fr-FR"/>
        </w:rPr>
      </w:pPr>
      <w:r w:rsidRPr="00F67407">
        <w:rPr>
          <w:rFonts w:eastAsia="Times New Roman" w:cs="Times New Roman"/>
          <w:szCs w:val="24"/>
          <w:lang w:val="en-US" w:eastAsia="fr-FR"/>
        </w:rPr>
        <w:t>United Nations</w:t>
      </w:r>
      <w:r>
        <w:rPr>
          <w:rFonts w:eastAsia="Times New Roman" w:cs="Times New Roman"/>
          <w:szCs w:val="24"/>
          <w:lang w:val="en-US" w:eastAsia="fr-FR"/>
        </w:rPr>
        <w:t xml:space="preserve"> (</w:t>
      </w:r>
      <w:r w:rsidRPr="00F67407">
        <w:rPr>
          <w:rFonts w:eastAsia="Times New Roman" w:cs="Times New Roman"/>
          <w:szCs w:val="24"/>
          <w:lang w:val="en-US" w:eastAsia="fr-FR"/>
        </w:rPr>
        <w:t>2015</w:t>
      </w:r>
      <w:r>
        <w:rPr>
          <w:rFonts w:eastAsia="Times New Roman" w:cs="Times New Roman"/>
          <w:szCs w:val="24"/>
          <w:lang w:val="en-US" w:eastAsia="fr-FR"/>
        </w:rPr>
        <w:t>)</w:t>
      </w:r>
      <w:r w:rsidRPr="00F67407">
        <w:rPr>
          <w:rFonts w:eastAsia="Times New Roman" w:cs="Times New Roman"/>
          <w:szCs w:val="24"/>
          <w:lang w:val="en-US" w:eastAsia="fr-FR"/>
        </w:rPr>
        <w:t xml:space="preserve">. </w:t>
      </w:r>
      <w:r w:rsidRPr="00F67407">
        <w:rPr>
          <w:rFonts w:eastAsia="Times New Roman" w:cs="Times New Roman"/>
          <w:i/>
          <w:iCs/>
          <w:szCs w:val="24"/>
          <w:lang w:val="en-US" w:eastAsia="fr-FR"/>
        </w:rPr>
        <w:t>Final report of the Group of Experts on Côte d'Ivoire pursuant to</w:t>
      </w:r>
      <w:r w:rsidR="00385157">
        <w:rPr>
          <w:rFonts w:eastAsia="Times New Roman" w:cs="Times New Roman"/>
          <w:bCs/>
          <w:szCs w:val="24"/>
          <w:lang w:val="en-US" w:eastAsia="fr-FR"/>
        </w:rPr>
        <w:t xml:space="preserve"> </w:t>
      </w:r>
      <w:r w:rsidRPr="00F67407">
        <w:rPr>
          <w:rFonts w:eastAsia="Times New Roman" w:cs="Times New Roman"/>
          <w:i/>
          <w:iCs/>
          <w:szCs w:val="24"/>
          <w:lang w:val="en-US" w:eastAsia="fr-FR"/>
        </w:rPr>
        <w:t xml:space="preserve">paragraph 27 of Security Council resolution </w:t>
      </w:r>
      <w:r w:rsidRPr="00385157">
        <w:rPr>
          <w:rFonts w:eastAsia="Times New Roman" w:cs="Times New Roman"/>
          <w:i/>
          <w:iCs/>
          <w:szCs w:val="24"/>
          <w:lang w:val="en-US" w:eastAsia="fr-FR"/>
        </w:rPr>
        <w:t>2153 (2014).</w:t>
      </w:r>
    </w:p>
    <w:p w14:paraId="768CBB09" w14:textId="77777777" w:rsidR="00945630" w:rsidRPr="00D172A8" w:rsidRDefault="00FF3C4D" w:rsidP="00D172A8">
      <w:pPr>
        <w:spacing w:after="0" w:line="240" w:lineRule="auto"/>
        <w:ind w:left="284" w:hanging="284"/>
        <w:rPr>
          <w:rFonts w:eastAsia="Times New Roman" w:cs="Times New Roman"/>
          <w:szCs w:val="24"/>
          <w:lang w:eastAsia="fr-FR"/>
        </w:rPr>
      </w:pPr>
      <w:r>
        <w:rPr>
          <w:rFonts w:eastAsia="Times New Roman" w:cs="Times New Roman"/>
          <w:szCs w:val="24"/>
          <w:lang w:val="en-US" w:eastAsia="fr-FR"/>
        </w:rPr>
        <w:t xml:space="preserve">Van </w:t>
      </w:r>
      <w:proofErr w:type="spellStart"/>
      <w:r>
        <w:rPr>
          <w:rFonts w:eastAsia="Times New Roman" w:cs="Times New Roman"/>
          <w:szCs w:val="24"/>
          <w:lang w:val="en-US" w:eastAsia="fr-FR"/>
        </w:rPr>
        <w:t>Bockstael</w:t>
      </w:r>
      <w:proofErr w:type="spellEnd"/>
      <w:r>
        <w:rPr>
          <w:rFonts w:eastAsia="Times New Roman" w:cs="Times New Roman"/>
          <w:szCs w:val="24"/>
          <w:lang w:val="en-US" w:eastAsia="fr-FR"/>
        </w:rPr>
        <w:t>, S. (2019</w:t>
      </w:r>
      <w:r w:rsidR="00C327A2" w:rsidRPr="00C327A2">
        <w:rPr>
          <w:rFonts w:eastAsia="Times New Roman" w:cs="Times New Roman"/>
          <w:szCs w:val="24"/>
          <w:lang w:val="en-US" w:eastAsia="fr-FR"/>
        </w:rPr>
        <w:t xml:space="preserve">). </w:t>
      </w:r>
      <w:r w:rsidR="00C327A2" w:rsidRPr="00FF3C4D">
        <w:rPr>
          <w:rFonts w:eastAsia="Times New Roman" w:cs="Times New Roman"/>
          <w:iCs/>
          <w:szCs w:val="24"/>
          <w:lang w:val="en-US" w:eastAsia="fr-FR"/>
        </w:rPr>
        <w:t>Land grabbing from below? Illicit artisanal gold mining and access to land in post-conflict Côte d’Ivoire</w:t>
      </w:r>
      <w:r>
        <w:rPr>
          <w:rFonts w:eastAsia="Times New Roman" w:cs="Times New Roman"/>
          <w:szCs w:val="24"/>
          <w:lang w:val="en-US" w:eastAsia="fr-FR"/>
        </w:rPr>
        <w:t>.</w:t>
      </w:r>
      <w:r w:rsidR="00C327A2" w:rsidRPr="00FF3C4D">
        <w:rPr>
          <w:rFonts w:eastAsia="Times New Roman" w:cs="Times New Roman"/>
          <w:i/>
          <w:iCs/>
          <w:szCs w:val="24"/>
          <w:lang w:val="en-US" w:eastAsia="fr-FR"/>
        </w:rPr>
        <w:t xml:space="preserve"> </w:t>
      </w:r>
      <w:r w:rsidR="00C327A2" w:rsidRPr="00C327A2">
        <w:rPr>
          <w:rFonts w:eastAsia="Times New Roman" w:cs="Times New Roman"/>
          <w:i/>
          <w:iCs/>
          <w:szCs w:val="24"/>
          <w:lang w:val="en-US" w:eastAsia="fr-FR"/>
        </w:rPr>
        <w:t>Land Use Policy</w:t>
      </w:r>
      <w:r w:rsidR="00C327A2" w:rsidRPr="00C327A2">
        <w:rPr>
          <w:rFonts w:eastAsia="Times New Roman" w:cs="Times New Roman"/>
          <w:szCs w:val="24"/>
          <w:lang w:val="en-US" w:eastAsia="fr-FR"/>
        </w:rPr>
        <w:t xml:space="preserve">, 75, </w:t>
      </w:r>
      <w:r>
        <w:rPr>
          <w:rFonts w:eastAsia="Times New Roman" w:cs="Times New Roman"/>
          <w:szCs w:val="24"/>
          <w:lang w:val="en-US" w:eastAsia="fr-FR"/>
        </w:rPr>
        <w:t xml:space="preserve">904-014, </w:t>
      </w:r>
      <w:r w:rsidRPr="00FF3C4D">
        <w:rPr>
          <w:lang w:val="en-US"/>
        </w:rPr>
        <w:t>DOI: 10.1016/j.landusepol.2018.04.045</w:t>
      </w:r>
    </w:p>
    <w:sectPr w:rsidR="00945630" w:rsidRPr="00D172A8">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AF5F" w14:textId="77777777" w:rsidR="00BA60EF" w:rsidRDefault="00BA60EF" w:rsidP="002724F1">
      <w:pPr>
        <w:spacing w:after="0" w:line="240" w:lineRule="auto"/>
      </w:pPr>
      <w:r>
        <w:separator/>
      </w:r>
    </w:p>
  </w:endnote>
  <w:endnote w:type="continuationSeparator" w:id="0">
    <w:p w14:paraId="3BE1201D" w14:textId="77777777" w:rsidR="00BA60EF" w:rsidRDefault="00BA60EF" w:rsidP="002724F1">
      <w:pPr>
        <w:spacing w:after="0" w:line="240" w:lineRule="auto"/>
      </w:pPr>
      <w:r>
        <w:continuationSeparator/>
      </w:r>
    </w:p>
  </w:endnote>
  <w:endnote w:type="continuationNotice" w:id="1">
    <w:p w14:paraId="170E7434" w14:textId="77777777" w:rsidR="00BA60EF" w:rsidRDefault="00BA6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6DBD" w14:textId="77777777" w:rsidR="00286F0B" w:rsidRDefault="00286F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1091" w14:textId="77777777" w:rsidR="00BA60EF" w:rsidRDefault="00BA60EF" w:rsidP="002724F1">
      <w:pPr>
        <w:spacing w:after="0" w:line="240" w:lineRule="auto"/>
      </w:pPr>
      <w:r>
        <w:separator/>
      </w:r>
    </w:p>
  </w:footnote>
  <w:footnote w:type="continuationSeparator" w:id="0">
    <w:p w14:paraId="23E8E03C" w14:textId="77777777" w:rsidR="00BA60EF" w:rsidRDefault="00BA60EF" w:rsidP="002724F1">
      <w:pPr>
        <w:spacing w:after="0" w:line="240" w:lineRule="auto"/>
      </w:pPr>
      <w:r>
        <w:continuationSeparator/>
      </w:r>
    </w:p>
  </w:footnote>
  <w:footnote w:type="continuationNotice" w:id="1">
    <w:p w14:paraId="6B174959" w14:textId="77777777" w:rsidR="00BA60EF" w:rsidRDefault="00BA6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078119"/>
      <w:docPartObj>
        <w:docPartGallery w:val="Page Numbers (Top of Page)"/>
        <w:docPartUnique/>
      </w:docPartObj>
    </w:sdtPr>
    <w:sdtContent>
      <w:p w14:paraId="4D0781F8" w14:textId="52F65E83" w:rsidR="002724F1" w:rsidRDefault="002724F1">
        <w:pPr>
          <w:pStyle w:val="En-tte"/>
          <w:jc w:val="right"/>
        </w:pPr>
        <w:r>
          <w:fldChar w:fldCharType="begin"/>
        </w:r>
        <w:r>
          <w:instrText>PAGE   \* MERGEFORMAT</w:instrText>
        </w:r>
        <w:r>
          <w:fldChar w:fldCharType="separate"/>
        </w:r>
        <w:r w:rsidR="000961DC">
          <w:rPr>
            <w:noProof/>
          </w:rPr>
          <w:t>4</w:t>
        </w:r>
        <w:r>
          <w:fldChar w:fldCharType="end"/>
        </w:r>
      </w:p>
    </w:sdtContent>
  </w:sdt>
  <w:p w14:paraId="3411F4CA" w14:textId="77777777" w:rsidR="002724F1" w:rsidRDefault="002724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56"/>
    <w:multiLevelType w:val="hybridMultilevel"/>
    <w:tmpl w:val="40542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960A6"/>
    <w:multiLevelType w:val="multilevel"/>
    <w:tmpl w:val="094C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40AA9"/>
    <w:multiLevelType w:val="hybridMultilevel"/>
    <w:tmpl w:val="6BBA5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93537"/>
    <w:multiLevelType w:val="hybridMultilevel"/>
    <w:tmpl w:val="41E09F78"/>
    <w:lvl w:ilvl="0" w:tplc="E3109C58">
      <w:start w:val="1"/>
      <w:numFmt w:val="bullet"/>
      <w:lvlText w:val=""/>
      <w:lvlJc w:val="left"/>
      <w:pPr>
        <w:ind w:left="34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B097F"/>
    <w:multiLevelType w:val="hybridMultilevel"/>
    <w:tmpl w:val="96387360"/>
    <w:lvl w:ilvl="0" w:tplc="9796F9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3575157">
    <w:abstractNumId w:val="4"/>
  </w:num>
  <w:num w:numId="2" w16cid:durableId="70781531">
    <w:abstractNumId w:val="1"/>
  </w:num>
  <w:num w:numId="3" w16cid:durableId="1794245909">
    <w:abstractNumId w:val="3"/>
  </w:num>
  <w:num w:numId="4" w16cid:durableId="1494954826">
    <w:abstractNumId w:val="2"/>
  </w:num>
  <w:num w:numId="5" w16cid:durableId="18044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30"/>
    <w:rsid w:val="00031E8D"/>
    <w:rsid w:val="000361FA"/>
    <w:rsid w:val="00046E69"/>
    <w:rsid w:val="00076966"/>
    <w:rsid w:val="000961DC"/>
    <w:rsid w:val="000A26FB"/>
    <w:rsid w:val="000B12F4"/>
    <w:rsid w:val="000E45C2"/>
    <w:rsid w:val="001472A0"/>
    <w:rsid w:val="001E2B6D"/>
    <w:rsid w:val="0021478F"/>
    <w:rsid w:val="00235C19"/>
    <w:rsid w:val="002724F1"/>
    <w:rsid w:val="00286F0B"/>
    <w:rsid w:val="0029103A"/>
    <w:rsid w:val="002B5256"/>
    <w:rsid w:val="002C58C1"/>
    <w:rsid w:val="00304802"/>
    <w:rsid w:val="00337DA2"/>
    <w:rsid w:val="003812C5"/>
    <w:rsid w:val="00385157"/>
    <w:rsid w:val="003F5F49"/>
    <w:rsid w:val="003F7C2A"/>
    <w:rsid w:val="0046792B"/>
    <w:rsid w:val="0048178C"/>
    <w:rsid w:val="004B5305"/>
    <w:rsid w:val="005219F2"/>
    <w:rsid w:val="00565138"/>
    <w:rsid w:val="005B7F59"/>
    <w:rsid w:val="00695130"/>
    <w:rsid w:val="006B523D"/>
    <w:rsid w:val="00765C1C"/>
    <w:rsid w:val="007A5C91"/>
    <w:rsid w:val="00853E9C"/>
    <w:rsid w:val="00881039"/>
    <w:rsid w:val="0089758E"/>
    <w:rsid w:val="008C3992"/>
    <w:rsid w:val="00945630"/>
    <w:rsid w:val="009910A6"/>
    <w:rsid w:val="00991CDE"/>
    <w:rsid w:val="00996CFB"/>
    <w:rsid w:val="00A065F1"/>
    <w:rsid w:val="00A07EA6"/>
    <w:rsid w:val="00AC56F6"/>
    <w:rsid w:val="00AD24DE"/>
    <w:rsid w:val="00AD71EC"/>
    <w:rsid w:val="00AF595C"/>
    <w:rsid w:val="00B30BDC"/>
    <w:rsid w:val="00B75C3C"/>
    <w:rsid w:val="00BA60EF"/>
    <w:rsid w:val="00BD6DD0"/>
    <w:rsid w:val="00BD727E"/>
    <w:rsid w:val="00C005D6"/>
    <w:rsid w:val="00C30415"/>
    <w:rsid w:val="00C327A2"/>
    <w:rsid w:val="00C537DC"/>
    <w:rsid w:val="00C8213E"/>
    <w:rsid w:val="00C82590"/>
    <w:rsid w:val="00C84F5D"/>
    <w:rsid w:val="00D172A8"/>
    <w:rsid w:val="00D6205F"/>
    <w:rsid w:val="00D75F59"/>
    <w:rsid w:val="00D97D2A"/>
    <w:rsid w:val="00DF7008"/>
    <w:rsid w:val="00E049A8"/>
    <w:rsid w:val="00E215DF"/>
    <w:rsid w:val="00E21764"/>
    <w:rsid w:val="00E40CC1"/>
    <w:rsid w:val="00E738E3"/>
    <w:rsid w:val="00E85FC7"/>
    <w:rsid w:val="00E9135E"/>
    <w:rsid w:val="00E91C90"/>
    <w:rsid w:val="00E9263A"/>
    <w:rsid w:val="00EA3FF5"/>
    <w:rsid w:val="00EC3E5A"/>
    <w:rsid w:val="00EC54CF"/>
    <w:rsid w:val="00ED2A5C"/>
    <w:rsid w:val="00EE0E12"/>
    <w:rsid w:val="00F070BE"/>
    <w:rsid w:val="00F61E72"/>
    <w:rsid w:val="00F67407"/>
    <w:rsid w:val="00F95766"/>
    <w:rsid w:val="00F97703"/>
    <w:rsid w:val="00FA65EF"/>
    <w:rsid w:val="00FD653A"/>
    <w:rsid w:val="00FF3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0B9B"/>
  <w15:chartTrackingRefBased/>
  <w15:docId w15:val="{DC8A3CF6-1858-4BCC-BDD5-2C8901BE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F1"/>
    <w:pPr>
      <w:spacing w:after="120" w:line="276" w:lineRule="auto"/>
      <w:jc w:val="both"/>
    </w:pPr>
    <w:rPr>
      <w:rFonts w:ascii="Times New Roman" w:hAnsi="Times New Roman"/>
      <w:sz w:val="24"/>
    </w:rPr>
  </w:style>
  <w:style w:type="paragraph" w:styleId="Titre1">
    <w:name w:val="heading 1"/>
    <w:basedOn w:val="Normal"/>
    <w:next w:val="Normal"/>
    <w:link w:val="Titre1Car"/>
    <w:uiPriority w:val="9"/>
    <w:qFormat/>
    <w:rsid w:val="00EA3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724F1"/>
    <w:pPr>
      <w:keepNext/>
      <w:keepLines/>
      <w:outlineLvl w:val="1"/>
    </w:pPr>
    <w:rPr>
      <w:rFonts w:eastAsiaTheme="majorEastAsia" w:cstheme="majorBidi"/>
      <w:b/>
      <w:szCs w:val="26"/>
    </w:rPr>
  </w:style>
  <w:style w:type="paragraph" w:styleId="Titre3">
    <w:name w:val="heading 3"/>
    <w:basedOn w:val="Normal"/>
    <w:link w:val="Titre3Car"/>
    <w:uiPriority w:val="9"/>
    <w:qFormat/>
    <w:rsid w:val="00C327A2"/>
    <w:pPr>
      <w:spacing w:before="100" w:beforeAutospacing="1" w:after="100" w:afterAutospacing="1" w:line="240" w:lineRule="auto"/>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630"/>
    <w:pPr>
      <w:ind w:left="720"/>
      <w:contextualSpacing/>
    </w:pPr>
  </w:style>
  <w:style w:type="character" w:customStyle="1" w:styleId="relative">
    <w:name w:val="relative"/>
    <w:basedOn w:val="Policepardfaut"/>
    <w:rsid w:val="00945630"/>
  </w:style>
  <w:style w:type="character" w:styleId="Accentuation">
    <w:name w:val="Emphasis"/>
    <w:basedOn w:val="Policepardfaut"/>
    <w:uiPriority w:val="20"/>
    <w:qFormat/>
    <w:rsid w:val="00945630"/>
    <w:rPr>
      <w:i/>
      <w:iCs/>
    </w:rPr>
  </w:style>
  <w:style w:type="character" w:customStyle="1" w:styleId="ms-1">
    <w:name w:val="ms-1"/>
    <w:basedOn w:val="Policepardfaut"/>
    <w:rsid w:val="00945630"/>
  </w:style>
  <w:style w:type="character" w:customStyle="1" w:styleId="max-w-full">
    <w:name w:val="max-w-full"/>
    <w:basedOn w:val="Policepardfaut"/>
    <w:rsid w:val="00945630"/>
  </w:style>
  <w:style w:type="character" w:customStyle="1" w:styleId="-me-1">
    <w:name w:val="-me-1"/>
    <w:basedOn w:val="Policepardfaut"/>
    <w:rsid w:val="00945630"/>
  </w:style>
  <w:style w:type="character" w:customStyle="1" w:styleId="Titre3Car">
    <w:name w:val="Titre 3 Car"/>
    <w:basedOn w:val="Policepardfaut"/>
    <w:link w:val="Titre3"/>
    <w:uiPriority w:val="9"/>
    <w:rsid w:val="00C327A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327A2"/>
    <w:rPr>
      <w:b/>
      <w:bCs/>
    </w:rPr>
  </w:style>
  <w:style w:type="paragraph" w:styleId="NormalWeb">
    <w:name w:val="Normal (Web)"/>
    <w:basedOn w:val="Normal"/>
    <w:uiPriority w:val="99"/>
    <w:unhideWhenUsed/>
    <w:rsid w:val="002724F1"/>
    <w:pPr>
      <w:spacing w:before="100" w:beforeAutospacing="1" w:after="100" w:afterAutospacing="1" w:line="240" w:lineRule="auto"/>
    </w:pPr>
    <w:rPr>
      <w:rFonts w:eastAsia="Times New Roman" w:cs="Times New Roman"/>
      <w:szCs w:val="24"/>
      <w:lang w:eastAsia="fr-FR"/>
    </w:rPr>
  </w:style>
  <w:style w:type="paragraph" w:styleId="En-tte">
    <w:name w:val="header"/>
    <w:basedOn w:val="Normal"/>
    <w:link w:val="En-tteCar"/>
    <w:uiPriority w:val="99"/>
    <w:unhideWhenUsed/>
    <w:rsid w:val="002724F1"/>
    <w:pPr>
      <w:tabs>
        <w:tab w:val="center" w:pos="4536"/>
        <w:tab w:val="right" w:pos="9072"/>
      </w:tabs>
      <w:spacing w:after="0" w:line="240" w:lineRule="auto"/>
    </w:pPr>
  </w:style>
  <w:style w:type="character" w:customStyle="1" w:styleId="En-tteCar">
    <w:name w:val="En-tête Car"/>
    <w:basedOn w:val="Policepardfaut"/>
    <w:link w:val="En-tte"/>
    <w:uiPriority w:val="99"/>
    <w:rsid w:val="002724F1"/>
    <w:rPr>
      <w:rFonts w:ascii="Times New Roman" w:hAnsi="Times New Roman"/>
      <w:sz w:val="24"/>
    </w:rPr>
  </w:style>
  <w:style w:type="paragraph" w:styleId="Pieddepage">
    <w:name w:val="footer"/>
    <w:basedOn w:val="Normal"/>
    <w:link w:val="PieddepageCar"/>
    <w:uiPriority w:val="99"/>
    <w:unhideWhenUsed/>
    <w:rsid w:val="00272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4F1"/>
    <w:rPr>
      <w:rFonts w:ascii="Times New Roman" w:hAnsi="Times New Roman"/>
      <w:sz w:val="24"/>
    </w:rPr>
  </w:style>
  <w:style w:type="character" w:customStyle="1" w:styleId="Titre2Car">
    <w:name w:val="Titre 2 Car"/>
    <w:basedOn w:val="Policepardfaut"/>
    <w:link w:val="Titre2"/>
    <w:uiPriority w:val="9"/>
    <w:rsid w:val="002724F1"/>
    <w:rPr>
      <w:rFonts w:ascii="Times New Roman" w:eastAsiaTheme="majorEastAsia" w:hAnsi="Times New Roman" w:cstheme="majorBidi"/>
      <w:b/>
      <w:sz w:val="24"/>
      <w:szCs w:val="26"/>
    </w:rPr>
  </w:style>
  <w:style w:type="character" w:styleId="Lienhypertexte">
    <w:name w:val="Hyperlink"/>
    <w:basedOn w:val="Policepardfaut"/>
    <w:uiPriority w:val="99"/>
    <w:unhideWhenUsed/>
    <w:rsid w:val="00235C19"/>
    <w:rPr>
      <w:color w:val="0000FF"/>
      <w:u w:val="single"/>
    </w:rPr>
  </w:style>
  <w:style w:type="paragraph" w:styleId="Corpsdetexte">
    <w:name w:val="Body Text"/>
    <w:basedOn w:val="Normal"/>
    <w:link w:val="CorpsdetexteCar"/>
    <w:uiPriority w:val="1"/>
    <w:qFormat/>
    <w:rsid w:val="00FF3C4D"/>
    <w:pPr>
      <w:widowControl w:val="0"/>
      <w:autoSpaceDE w:val="0"/>
      <w:autoSpaceDN w:val="0"/>
      <w:spacing w:after="0" w:line="240" w:lineRule="auto"/>
      <w:jc w:val="left"/>
    </w:pPr>
    <w:rPr>
      <w:rFonts w:ascii="Cambria" w:eastAsia="Cambria" w:hAnsi="Cambria" w:cs="Cambria"/>
      <w:sz w:val="20"/>
      <w:szCs w:val="20"/>
    </w:rPr>
  </w:style>
  <w:style w:type="character" w:customStyle="1" w:styleId="CorpsdetexteCar">
    <w:name w:val="Corps de texte Car"/>
    <w:basedOn w:val="Policepardfaut"/>
    <w:link w:val="Corpsdetexte"/>
    <w:uiPriority w:val="1"/>
    <w:rsid w:val="00FF3C4D"/>
    <w:rPr>
      <w:rFonts w:ascii="Cambria" w:eastAsia="Cambria" w:hAnsi="Cambria" w:cs="Cambria"/>
      <w:sz w:val="20"/>
      <w:szCs w:val="20"/>
    </w:rPr>
  </w:style>
  <w:style w:type="character" w:customStyle="1" w:styleId="anchor-text">
    <w:name w:val="anchor-text"/>
    <w:basedOn w:val="Policepardfaut"/>
    <w:rsid w:val="00D97D2A"/>
  </w:style>
  <w:style w:type="character" w:styleId="Marquedecommentaire">
    <w:name w:val="annotation reference"/>
    <w:basedOn w:val="Policepardfaut"/>
    <w:uiPriority w:val="99"/>
    <w:semiHidden/>
    <w:unhideWhenUsed/>
    <w:rsid w:val="00A065F1"/>
    <w:rPr>
      <w:sz w:val="16"/>
      <w:szCs w:val="16"/>
    </w:rPr>
  </w:style>
  <w:style w:type="paragraph" w:styleId="Commentaire">
    <w:name w:val="annotation text"/>
    <w:basedOn w:val="Normal"/>
    <w:link w:val="CommentaireCar"/>
    <w:uiPriority w:val="99"/>
    <w:semiHidden/>
    <w:unhideWhenUsed/>
    <w:rsid w:val="00A065F1"/>
    <w:pPr>
      <w:spacing w:line="240" w:lineRule="auto"/>
    </w:pPr>
    <w:rPr>
      <w:sz w:val="20"/>
      <w:szCs w:val="20"/>
    </w:rPr>
  </w:style>
  <w:style w:type="character" w:customStyle="1" w:styleId="CommentaireCar">
    <w:name w:val="Commentaire Car"/>
    <w:basedOn w:val="Policepardfaut"/>
    <w:link w:val="Commentaire"/>
    <w:uiPriority w:val="99"/>
    <w:semiHidden/>
    <w:rsid w:val="00A065F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065F1"/>
    <w:rPr>
      <w:b/>
      <w:bCs/>
    </w:rPr>
  </w:style>
  <w:style w:type="character" w:customStyle="1" w:styleId="ObjetducommentaireCar">
    <w:name w:val="Objet du commentaire Car"/>
    <w:basedOn w:val="CommentaireCar"/>
    <w:link w:val="Objetducommentaire"/>
    <w:uiPriority w:val="99"/>
    <w:semiHidden/>
    <w:rsid w:val="00A065F1"/>
    <w:rPr>
      <w:rFonts w:ascii="Times New Roman" w:hAnsi="Times New Roman"/>
      <w:b/>
      <w:bCs/>
      <w:sz w:val="20"/>
      <w:szCs w:val="20"/>
    </w:rPr>
  </w:style>
  <w:style w:type="paragraph" w:styleId="Rvision">
    <w:name w:val="Revision"/>
    <w:hidden/>
    <w:uiPriority w:val="99"/>
    <w:semiHidden/>
    <w:rsid w:val="00E9135E"/>
    <w:pPr>
      <w:spacing w:after="0" w:line="240" w:lineRule="auto"/>
    </w:pPr>
    <w:rPr>
      <w:rFonts w:ascii="Times New Roman" w:hAnsi="Times New Roman"/>
      <w:sz w:val="24"/>
    </w:rPr>
  </w:style>
  <w:style w:type="paragraph" w:styleId="Textedebulles">
    <w:name w:val="Balloon Text"/>
    <w:basedOn w:val="Normal"/>
    <w:link w:val="TextedebullesCar"/>
    <w:uiPriority w:val="99"/>
    <w:semiHidden/>
    <w:unhideWhenUsed/>
    <w:rsid w:val="00F61E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E72"/>
    <w:rPr>
      <w:rFonts w:ascii="Segoe UI" w:hAnsi="Segoe UI" w:cs="Segoe UI"/>
      <w:sz w:val="18"/>
      <w:szCs w:val="18"/>
    </w:rPr>
  </w:style>
  <w:style w:type="character" w:customStyle="1" w:styleId="Titre1Car">
    <w:name w:val="Titre 1 Car"/>
    <w:basedOn w:val="Policepardfaut"/>
    <w:link w:val="Titre1"/>
    <w:uiPriority w:val="9"/>
    <w:rsid w:val="00EA3FF5"/>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99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082">
      <w:bodyDiv w:val="1"/>
      <w:marLeft w:val="0"/>
      <w:marRight w:val="0"/>
      <w:marTop w:val="0"/>
      <w:marBottom w:val="0"/>
      <w:divBdr>
        <w:top w:val="none" w:sz="0" w:space="0" w:color="auto"/>
        <w:left w:val="none" w:sz="0" w:space="0" w:color="auto"/>
        <w:bottom w:val="none" w:sz="0" w:space="0" w:color="auto"/>
        <w:right w:val="none" w:sz="0" w:space="0" w:color="auto"/>
      </w:divBdr>
    </w:div>
    <w:div w:id="31926779">
      <w:bodyDiv w:val="1"/>
      <w:marLeft w:val="0"/>
      <w:marRight w:val="0"/>
      <w:marTop w:val="0"/>
      <w:marBottom w:val="0"/>
      <w:divBdr>
        <w:top w:val="none" w:sz="0" w:space="0" w:color="auto"/>
        <w:left w:val="none" w:sz="0" w:space="0" w:color="auto"/>
        <w:bottom w:val="none" w:sz="0" w:space="0" w:color="auto"/>
        <w:right w:val="none" w:sz="0" w:space="0" w:color="auto"/>
      </w:divBdr>
    </w:div>
    <w:div w:id="141045176">
      <w:bodyDiv w:val="1"/>
      <w:marLeft w:val="0"/>
      <w:marRight w:val="0"/>
      <w:marTop w:val="0"/>
      <w:marBottom w:val="0"/>
      <w:divBdr>
        <w:top w:val="none" w:sz="0" w:space="0" w:color="auto"/>
        <w:left w:val="none" w:sz="0" w:space="0" w:color="auto"/>
        <w:bottom w:val="none" w:sz="0" w:space="0" w:color="auto"/>
        <w:right w:val="none" w:sz="0" w:space="0" w:color="auto"/>
      </w:divBdr>
    </w:div>
    <w:div w:id="279579291">
      <w:bodyDiv w:val="1"/>
      <w:marLeft w:val="0"/>
      <w:marRight w:val="0"/>
      <w:marTop w:val="0"/>
      <w:marBottom w:val="0"/>
      <w:divBdr>
        <w:top w:val="none" w:sz="0" w:space="0" w:color="auto"/>
        <w:left w:val="none" w:sz="0" w:space="0" w:color="auto"/>
        <w:bottom w:val="none" w:sz="0" w:space="0" w:color="auto"/>
        <w:right w:val="none" w:sz="0" w:space="0" w:color="auto"/>
      </w:divBdr>
    </w:div>
    <w:div w:id="292561415">
      <w:bodyDiv w:val="1"/>
      <w:marLeft w:val="0"/>
      <w:marRight w:val="0"/>
      <w:marTop w:val="0"/>
      <w:marBottom w:val="0"/>
      <w:divBdr>
        <w:top w:val="none" w:sz="0" w:space="0" w:color="auto"/>
        <w:left w:val="none" w:sz="0" w:space="0" w:color="auto"/>
        <w:bottom w:val="none" w:sz="0" w:space="0" w:color="auto"/>
        <w:right w:val="none" w:sz="0" w:space="0" w:color="auto"/>
      </w:divBdr>
      <w:divsChild>
        <w:div w:id="1337151547">
          <w:marLeft w:val="0"/>
          <w:marRight w:val="0"/>
          <w:marTop w:val="0"/>
          <w:marBottom w:val="0"/>
          <w:divBdr>
            <w:top w:val="none" w:sz="0" w:space="0" w:color="auto"/>
            <w:left w:val="none" w:sz="0" w:space="0" w:color="auto"/>
            <w:bottom w:val="none" w:sz="0" w:space="0" w:color="auto"/>
            <w:right w:val="none" w:sz="0" w:space="0" w:color="auto"/>
          </w:divBdr>
          <w:divsChild>
            <w:div w:id="1577086716">
              <w:marLeft w:val="0"/>
              <w:marRight w:val="0"/>
              <w:marTop w:val="0"/>
              <w:marBottom w:val="0"/>
              <w:divBdr>
                <w:top w:val="none" w:sz="0" w:space="0" w:color="auto"/>
                <w:left w:val="none" w:sz="0" w:space="0" w:color="auto"/>
                <w:bottom w:val="none" w:sz="0" w:space="0" w:color="auto"/>
                <w:right w:val="none" w:sz="0" w:space="0" w:color="auto"/>
              </w:divBdr>
              <w:divsChild>
                <w:div w:id="19835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123">
      <w:bodyDiv w:val="1"/>
      <w:marLeft w:val="0"/>
      <w:marRight w:val="0"/>
      <w:marTop w:val="0"/>
      <w:marBottom w:val="0"/>
      <w:divBdr>
        <w:top w:val="none" w:sz="0" w:space="0" w:color="auto"/>
        <w:left w:val="none" w:sz="0" w:space="0" w:color="auto"/>
        <w:bottom w:val="none" w:sz="0" w:space="0" w:color="auto"/>
        <w:right w:val="none" w:sz="0" w:space="0" w:color="auto"/>
      </w:divBdr>
    </w:div>
    <w:div w:id="469136354">
      <w:bodyDiv w:val="1"/>
      <w:marLeft w:val="0"/>
      <w:marRight w:val="0"/>
      <w:marTop w:val="0"/>
      <w:marBottom w:val="0"/>
      <w:divBdr>
        <w:top w:val="none" w:sz="0" w:space="0" w:color="auto"/>
        <w:left w:val="none" w:sz="0" w:space="0" w:color="auto"/>
        <w:bottom w:val="none" w:sz="0" w:space="0" w:color="auto"/>
        <w:right w:val="none" w:sz="0" w:space="0" w:color="auto"/>
      </w:divBdr>
    </w:div>
    <w:div w:id="581069853">
      <w:bodyDiv w:val="1"/>
      <w:marLeft w:val="0"/>
      <w:marRight w:val="0"/>
      <w:marTop w:val="0"/>
      <w:marBottom w:val="0"/>
      <w:divBdr>
        <w:top w:val="none" w:sz="0" w:space="0" w:color="auto"/>
        <w:left w:val="none" w:sz="0" w:space="0" w:color="auto"/>
        <w:bottom w:val="none" w:sz="0" w:space="0" w:color="auto"/>
        <w:right w:val="none" w:sz="0" w:space="0" w:color="auto"/>
      </w:divBdr>
    </w:div>
    <w:div w:id="638847014">
      <w:bodyDiv w:val="1"/>
      <w:marLeft w:val="0"/>
      <w:marRight w:val="0"/>
      <w:marTop w:val="0"/>
      <w:marBottom w:val="0"/>
      <w:divBdr>
        <w:top w:val="none" w:sz="0" w:space="0" w:color="auto"/>
        <w:left w:val="none" w:sz="0" w:space="0" w:color="auto"/>
        <w:bottom w:val="none" w:sz="0" w:space="0" w:color="auto"/>
        <w:right w:val="none" w:sz="0" w:space="0" w:color="auto"/>
      </w:divBdr>
    </w:div>
    <w:div w:id="641544978">
      <w:bodyDiv w:val="1"/>
      <w:marLeft w:val="0"/>
      <w:marRight w:val="0"/>
      <w:marTop w:val="0"/>
      <w:marBottom w:val="0"/>
      <w:divBdr>
        <w:top w:val="none" w:sz="0" w:space="0" w:color="auto"/>
        <w:left w:val="none" w:sz="0" w:space="0" w:color="auto"/>
        <w:bottom w:val="none" w:sz="0" w:space="0" w:color="auto"/>
        <w:right w:val="none" w:sz="0" w:space="0" w:color="auto"/>
      </w:divBdr>
    </w:div>
    <w:div w:id="793331200">
      <w:bodyDiv w:val="1"/>
      <w:marLeft w:val="0"/>
      <w:marRight w:val="0"/>
      <w:marTop w:val="0"/>
      <w:marBottom w:val="0"/>
      <w:divBdr>
        <w:top w:val="none" w:sz="0" w:space="0" w:color="auto"/>
        <w:left w:val="none" w:sz="0" w:space="0" w:color="auto"/>
        <w:bottom w:val="none" w:sz="0" w:space="0" w:color="auto"/>
        <w:right w:val="none" w:sz="0" w:space="0" w:color="auto"/>
      </w:divBdr>
    </w:div>
    <w:div w:id="839347877">
      <w:bodyDiv w:val="1"/>
      <w:marLeft w:val="0"/>
      <w:marRight w:val="0"/>
      <w:marTop w:val="0"/>
      <w:marBottom w:val="0"/>
      <w:divBdr>
        <w:top w:val="none" w:sz="0" w:space="0" w:color="auto"/>
        <w:left w:val="none" w:sz="0" w:space="0" w:color="auto"/>
        <w:bottom w:val="none" w:sz="0" w:space="0" w:color="auto"/>
        <w:right w:val="none" w:sz="0" w:space="0" w:color="auto"/>
      </w:divBdr>
    </w:div>
    <w:div w:id="910820430">
      <w:bodyDiv w:val="1"/>
      <w:marLeft w:val="0"/>
      <w:marRight w:val="0"/>
      <w:marTop w:val="0"/>
      <w:marBottom w:val="0"/>
      <w:divBdr>
        <w:top w:val="none" w:sz="0" w:space="0" w:color="auto"/>
        <w:left w:val="none" w:sz="0" w:space="0" w:color="auto"/>
        <w:bottom w:val="none" w:sz="0" w:space="0" w:color="auto"/>
        <w:right w:val="none" w:sz="0" w:space="0" w:color="auto"/>
      </w:divBdr>
    </w:div>
    <w:div w:id="922490612">
      <w:bodyDiv w:val="1"/>
      <w:marLeft w:val="0"/>
      <w:marRight w:val="0"/>
      <w:marTop w:val="0"/>
      <w:marBottom w:val="0"/>
      <w:divBdr>
        <w:top w:val="none" w:sz="0" w:space="0" w:color="auto"/>
        <w:left w:val="none" w:sz="0" w:space="0" w:color="auto"/>
        <w:bottom w:val="none" w:sz="0" w:space="0" w:color="auto"/>
        <w:right w:val="none" w:sz="0" w:space="0" w:color="auto"/>
      </w:divBdr>
    </w:div>
    <w:div w:id="937367822">
      <w:bodyDiv w:val="1"/>
      <w:marLeft w:val="0"/>
      <w:marRight w:val="0"/>
      <w:marTop w:val="0"/>
      <w:marBottom w:val="0"/>
      <w:divBdr>
        <w:top w:val="none" w:sz="0" w:space="0" w:color="auto"/>
        <w:left w:val="none" w:sz="0" w:space="0" w:color="auto"/>
        <w:bottom w:val="none" w:sz="0" w:space="0" w:color="auto"/>
        <w:right w:val="none" w:sz="0" w:space="0" w:color="auto"/>
      </w:divBdr>
    </w:div>
    <w:div w:id="1050112911">
      <w:bodyDiv w:val="1"/>
      <w:marLeft w:val="0"/>
      <w:marRight w:val="0"/>
      <w:marTop w:val="0"/>
      <w:marBottom w:val="0"/>
      <w:divBdr>
        <w:top w:val="none" w:sz="0" w:space="0" w:color="auto"/>
        <w:left w:val="none" w:sz="0" w:space="0" w:color="auto"/>
        <w:bottom w:val="none" w:sz="0" w:space="0" w:color="auto"/>
        <w:right w:val="none" w:sz="0" w:space="0" w:color="auto"/>
      </w:divBdr>
    </w:div>
    <w:div w:id="1116944563">
      <w:bodyDiv w:val="1"/>
      <w:marLeft w:val="0"/>
      <w:marRight w:val="0"/>
      <w:marTop w:val="0"/>
      <w:marBottom w:val="0"/>
      <w:divBdr>
        <w:top w:val="none" w:sz="0" w:space="0" w:color="auto"/>
        <w:left w:val="none" w:sz="0" w:space="0" w:color="auto"/>
        <w:bottom w:val="none" w:sz="0" w:space="0" w:color="auto"/>
        <w:right w:val="none" w:sz="0" w:space="0" w:color="auto"/>
      </w:divBdr>
    </w:div>
    <w:div w:id="1193809554">
      <w:bodyDiv w:val="1"/>
      <w:marLeft w:val="0"/>
      <w:marRight w:val="0"/>
      <w:marTop w:val="0"/>
      <w:marBottom w:val="0"/>
      <w:divBdr>
        <w:top w:val="none" w:sz="0" w:space="0" w:color="auto"/>
        <w:left w:val="none" w:sz="0" w:space="0" w:color="auto"/>
        <w:bottom w:val="none" w:sz="0" w:space="0" w:color="auto"/>
        <w:right w:val="none" w:sz="0" w:space="0" w:color="auto"/>
      </w:divBdr>
    </w:div>
    <w:div w:id="1195844091">
      <w:bodyDiv w:val="1"/>
      <w:marLeft w:val="0"/>
      <w:marRight w:val="0"/>
      <w:marTop w:val="0"/>
      <w:marBottom w:val="0"/>
      <w:divBdr>
        <w:top w:val="none" w:sz="0" w:space="0" w:color="auto"/>
        <w:left w:val="none" w:sz="0" w:space="0" w:color="auto"/>
        <w:bottom w:val="none" w:sz="0" w:space="0" w:color="auto"/>
        <w:right w:val="none" w:sz="0" w:space="0" w:color="auto"/>
      </w:divBdr>
    </w:div>
    <w:div w:id="1280916913">
      <w:bodyDiv w:val="1"/>
      <w:marLeft w:val="0"/>
      <w:marRight w:val="0"/>
      <w:marTop w:val="0"/>
      <w:marBottom w:val="0"/>
      <w:divBdr>
        <w:top w:val="none" w:sz="0" w:space="0" w:color="auto"/>
        <w:left w:val="none" w:sz="0" w:space="0" w:color="auto"/>
        <w:bottom w:val="none" w:sz="0" w:space="0" w:color="auto"/>
        <w:right w:val="none" w:sz="0" w:space="0" w:color="auto"/>
      </w:divBdr>
    </w:div>
    <w:div w:id="1324511860">
      <w:bodyDiv w:val="1"/>
      <w:marLeft w:val="0"/>
      <w:marRight w:val="0"/>
      <w:marTop w:val="0"/>
      <w:marBottom w:val="0"/>
      <w:divBdr>
        <w:top w:val="none" w:sz="0" w:space="0" w:color="auto"/>
        <w:left w:val="none" w:sz="0" w:space="0" w:color="auto"/>
        <w:bottom w:val="none" w:sz="0" w:space="0" w:color="auto"/>
        <w:right w:val="none" w:sz="0" w:space="0" w:color="auto"/>
      </w:divBdr>
    </w:div>
    <w:div w:id="1482233881">
      <w:bodyDiv w:val="1"/>
      <w:marLeft w:val="0"/>
      <w:marRight w:val="0"/>
      <w:marTop w:val="0"/>
      <w:marBottom w:val="0"/>
      <w:divBdr>
        <w:top w:val="none" w:sz="0" w:space="0" w:color="auto"/>
        <w:left w:val="none" w:sz="0" w:space="0" w:color="auto"/>
        <w:bottom w:val="none" w:sz="0" w:space="0" w:color="auto"/>
        <w:right w:val="none" w:sz="0" w:space="0" w:color="auto"/>
      </w:divBdr>
      <w:divsChild>
        <w:div w:id="376203177">
          <w:marLeft w:val="0"/>
          <w:marRight w:val="0"/>
          <w:marTop w:val="0"/>
          <w:marBottom w:val="0"/>
          <w:divBdr>
            <w:top w:val="none" w:sz="0" w:space="0" w:color="auto"/>
            <w:left w:val="none" w:sz="0" w:space="0" w:color="auto"/>
            <w:bottom w:val="none" w:sz="0" w:space="0" w:color="auto"/>
            <w:right w:val="none" w:sz="0" w:space="0" w:color="auto"/>
          </w:divBdr>
          <w:divsChild>
            <w:div w:id="1590196013">
              <w:marLeft w:val="0"/>
              <w:marRight w:val="0"/>
              <w:marTop w:val="0"/>
              <w:marBottom w:val="0"/>
              <w:divBdr>
                <w:top w:val="none" w:sz="0" w:space="0" w:color="auto"/>
                <w:left w:val="none" w:sz="0" w:space="0" w:color="auto"/>
                <w:bottom w:val="none" w:sz="0" w:space="0" w:color="auto"/>
                <w:right w:val="none" w:sz="0" w:space="0" w:color="auto"/>
              </w:divBdr>
            </w:div>
            <w:div w:id="736048424">
              <w:marLeft w:val="0"/>
              <w:marRight w:val="0"/>
              <w:marTop w:val="0"/>
              <w:marBottom w:val="0"/>
              <w:divBdr>
                <w:top w:val="none" w:sz="0" w:space="0" w:color="auto"/>
                <w:left w:val="none" w:sz="0" w:space="0" w:color="auto"/>
                <w:bottom w:val="none" w:sz="0" w:space="0" w:color="auto"/>
                <w:right w:val="none" w:sz="0" w:space="0" w:color="auto"/>
              </w:divBdr>
            </w:div>
            <w:div w:id="1283685114">
              <w:marLeft w:val="0"/>
              <w:marRight w:val="0"/>
              <w:marTop w:val="0"/>
              <w:marBottom w:val="0"/>
              <w:divBdr>
                <w:top w:val="none" w:sz="0" w:space="0" w:color="auto"/>
                <w:left w:val="none" w:sz="0" w:space="0" w:color="auto"/>
                <w:bottom w:val="none" w:sz="0" w:space="0" w:color="auto"/>
                <w:right w:val="none" w:sz="0" w:space="0" w:color="auto"/>
              </w:divBdr>
            </w:div>
            <w:div w:id="1983196910">
              <w:marLeft w:val="0"/>
              <w:marRight w:val="0"/>
              <w:marTop w:val="0"/>
              <w:marBottom w:val="0"/>
              <w:divBdr>
                <w:top w:val="none" w:sz="0" w:space="0" w:color="auto"/>
                <w:left w:val="none" w:sz="0" w:space="0" w:color="auto"/>
                <w:bottom w:val="none" w:sz="0" w:space="0" w:color="auto"/>
                <w:right w:val="none" w:sz="0" w:space="0" w:color="auto"/>
              </w:divBdr>
            </w:div>
            <w:div w:id="1962033463">
              <w:marLeft w:val="0"/>
              <w:marRight w:val="0"/>
              <w:marTop w:val="0"/>
              <w:marBottom w:val="0"/>
              <w:divBdr>
                <w:top w:val="none" w:sz="0" w:space="0" w:color="auto"/>
                <w:left w:val="none" w:sz="0" w:space="0" w:color="auto"/>
                <w:bottom w:val="none" w:sz="0" w:space="0" w:color="auto"/>
                <w:right w:val="none" w:sz="0" w:space="0" w:color="auto"/>
              </w:divBdr>
            </w:div>
            <w:div w:id="1793749562">
              <w:marLeft w:val="0"/>
              <w:marRight w:val="0"/>
              <w:marTop w:val="0"/>
              <w:marBottom w:val="0"/>
              <w:divBdr>
                <w:top w:val="none" w:sz="0" w:space="0" w:color="auto"/>
                <w:left w:val="none" w:sz="0" w:space="0" w:color="auto"/>
                <w:bottom w:val="none" w:sz="0" w:space="0" w:color="auto"/>
                <w:right w:val="none" w:sz="0" w:space="0" w:color="auto"/>
              </w:divBdr>
            </w:div>
            <w:div w:id="13767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2390">
      <w:bodyDiv w:val="1"/>
      <w:marLeft w:val="0"/>
      <w:marRight w:val="0"/>
      <w:marTop w:val="0"/>
      <w:marBottom w:val="0"/>
      <w:divBdr>
        <w:top w:val="none" w:sz="0" w:space="0" w:color="auto"/>
        <w:left w:val="none" w:sz="0" w:space="0" w:color="auto"/>
        <w:bottom w:val="none" w:sz="0" w:space="0" w:color="auto"/>
        <w:right w:val="none" w:sz="0" w:space="0" w:color="auto"/>
      </w:divBdr>
    </w:div>
    <w:div w:id="1632591666">
      <w:bodyDiv w:val="1"/>
      <w:marLeft w:val="0"/>
      <w:marRight w:val="0"/>
      <w:marTop w:val="0"/>
      <w:marBottom w:val="0"/>
      <w:divBdr>
        <w:top w:val="none" w:sz="0" w:space="0" w:color="auto"/>
        <w:left w:val="none" w:sz="0" w:space="0" w:color="auto"/>
        <w:bottom w:val="none" w:sz="0" w:space="0" w:color="auto"/>
        <w:right w:val="none" w:sz="0" w:space="0" w:color="auto"/>
      </w:divBdr>
    </w:div>
    <w:div w:id="1691032581">
      <w:bodyDiv w:val="1"/>
      <w:marLeft w:val="0"/>
      <w:marRight w:val="0"/>
      <w:marTop w:val="0"/>
      <w:marBottom w:val="0"/>
      <w:divBdr>
        <w:top w:val="none" w:sz="0" w:space="0" w:color="auto"/>
        <w:left w:val="none" w:sz="0" w:space="0" w:color="auto"/>
        <w:bottom w:val="none" w:sz="0" w:space="0" w:color="auto"/>
        <w:right w:val="none" w:sz="0" w:space="0" w:color="auto"/>
      </w:divBdr>
    </w:div>
    <w:div w:id="1712457461">
      <w:bodyDiv w:val="1"/>
      <w:marLeft w:val="0"/>
      <w:marRight w:val="0"/>
      <w:marTop w:val="0"/>
      <w:marBottom w:val="0"/>
      <w:divBdr>
        <w:top w:val="none" w:sz="0" w:space="0" w:color="auto"/>
        <w:left w:val="none" w:sz="0" w:space="0" w:color="auto"/>
        <w:bottom w:val="none" w:sz="0" w:space="0" w:color="auto"/>
        <w:right w:val="none" w:sz="0" w:space="0" w:color="auto"/>
      </w:divBdr>
    </w:div>
    <w:div w:id="1802573083">
      <w:bodyDiv w:val="1"/>
      <w:marLeft w:val="0"/>
      <w:marRight w:val="0"/>
      <w:marTop w:val="0"/>
      <w:marBottom w:val="0"/>
      <w:divBdr>
        <w:top w:val="none" w:sz="0" w:space="0" w:color="auto"/>
        <w:left w:val="none" w:sz="0" w:space="0" w:color="auto"/>
        <w:bottom w:val="none" w:sz="0" w:space="0" w:color="auto"/>
        <w:right w:val="none" w:sz="0" w:space="0" w:color="auto"/>
      </w:divBdr>
    </w:div>
    <w:div w:id="1833401918">
      <w:bodyDiv w:val="1"/>
      <w:marLeft w:val="0"/>
      <w:marRight w:val="0"/>
      <w:marTop w:val="0"/>
      <w:marBottom w:val="0"/>
      <w:divBdr>
        <w:top w:val="none" w:sz="0" w:space="0" w:color="auto"/>
        <w:left w:val="none" w:sz="0" w:space="0" w:color="auto"/>
        <w:bottom w:val="none" w:sz="0" w:space="0" w:color="auto"/>
        <w:right w:val="none" w:sz="0" w:space="0" w:color="auto"/>
      </w:divBdr>
    </w:div>
    <w:div w:id="1846476989">
      <w:bodyDiv w:val="1"/>
      <w:marLeft w:val="0"/>
      <w:marRight w:val="0"/>
      <w:marTop w:val="0"/>
      <w:marBottom w:val="0"/>
      <w:divBdr>
        <w:top w:val="none" w:sz="0" w:space="0" w:color="auto"/>
        <w:left w:val="none" w:sz="0" w:space="0" w:color="auto"/>
        <w:bottom w:val="none" w:sz="0" w:space="0" w:color="auto"/>
        <w:right w:val="none" w:sz="0" w:space="0" w:color="auto"/>
      </w:divBdr>
    </w:div>
    <w:div w:id="2048410158">
      <w:bodyDiv w:val="1"/>
      <w:marLeft w:val="0"/>
      <w:marRight w:val="0"/>
      <w:marTop w:val="0"/>
      <w:marBottom w:val="0"/>
      <w:divBdr>
        <w:top w:val="none" w:sz="0" w:space="0" w:color="auto"/>
        <w:left w:val="none" w:sz="0" w:space="0" w:color="auto"/>
        <w:bottom w:val="none" w:sz="0" w:space="0" w:color="auto"/>
        <w:right w:val="none" w:sz="0" w:space="0" w:color="auto"/>
      </w:divBdr>
    </w:div>
    <w:div w:id="2093431526">
      <w:bodyDiv w:val="1"/>
      <w:marLeft w:val="0"/>
      <w:marRight w:val="0"/>
      <w:marTop w:val="0"/>
      <w:marBottom w:val="0"/>
      <w:divBdr>
        <w:top w:val="none" w:sz="0" w:space="0" w:color="auto"/>
        <w:left w:val="none" w:sz="0" w:space="0" w:color="auto"/>
        <w:bottom w:val="none" w:sz="0" w:space="0" w:color="auto"/>
        <w:right w:val="none" w:sz="0" w:space="0" w:color="auto"/>
      </w:divBdr>
    </w:div>
    <w:div w:id="2122458393">
      <w:bodyDiv w:val="1"/>
      <w:marLeft w:val="0"/>
      <w:marRight w:val="0"/>
      <w:marTop w:val="0"/>
      <w:marBottom w:val="0"/>
      <w:divBdr>
        <w:top w:val="none" w:sz="0" w:space="0" w:color="auto"/>
        <w:left w:val="none" w:sz="0" w:space="0" w:color="auto"/>
        <w:bottom w:val="none" w:sz="0" w:space="0" w:color="auto"/>
        <w:right w:val="none" w:sz="0" w:space="0" w:color="auto"/>
      </w:divBdr>
    </w:div>
    <w:div w:id="21408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mem.inphb.ci/" TargetMode="External"/><Relationship Id="rId13" Type="http://schemas.openxmlformats.org/officeDocument/2006/relationships/hyperlink" Target="https://doi.org/10.1016/j.precamres.2011.08.002" TargetMode="External"/><Relationship Id="rId18" Type="http://schemas.openxmlformats.org/officeDocument/2006/relationships/hyperlink" Target="https://doi.org/10.1016/j.exis.2018.02.006" TargetMode="External"/><Relationship Id="rId3" Type="http://schemas.openxmlformats.org/officeDocument/2006/relationships/settings" Target="settings.xml"/><Relationship Id="rId21" Type="http://schemas.openxmlformats.org/officeDocument/2006/relationships/hyperlink" Target="https://doi.org/10.1522/revueot.v28n1.1023" TargetMode="External"/><Relationship Id="rId7" Type="http://schemas.openxmlformats.org/officeDocument/2006/relationships/hyperlink" Target="https://miner-wa.org/" TargetMode="External"/><Relationship Id="rId12" Type="http://schemas.openxmlformats.org/officeDocument/2006/relationships/hyperlink" Target="mailto:hugodorycros@gmail.com" TargetMode="External"/><Relationship Id="rId17" Type="http://schemas.openxmlformats.org/officeDocument/2006/relationships/hyperlink" Target="https://doi.org/10.4000/echogeo.243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geoforum.2017.05.004" TargetMode="External"/><Relationship Id="rId20" Type="http://schemas.openxmlformats.org/officeDocument/2006/relationships/hyperlink" Target="https://doi.org/10.1016/j.resourpol.2021.102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dessertine@ird.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3056244.2020.1731683" TargetMode="External"/><Relationship Id="rId23" Type="http://schemas.openxmlformats.org/officeDocument/2006/relationships/footer" Target="footer1.xml"/><Relationship Id="rId10" Type="http://schemas.openxmlformats.org/officeDocument/2006/relationships/hyperlink" Target="mailto:muriel.champy@univ-amu.fr" TargetMode="External"/><Relationship Id="rId19" Type="http://schemas.openxmlformats.org/officeDocument/2006/relationships/hyperlink" Target="https://doi.org/10.1017/S0001972017000663" TargetMode="External"/><Relationship Id="rId4" Type="http://schemas.openxmlformats.org/officeDocument/2006/relationships/webSettings" Target="webSettings.xml"/><Relationship Id="rId9" Type="http://schemas.openxmlformats.org/officeDocument/2006/relationships/hyperlink" Target="http://africanistes.org/wp-content/uploads/2016/06/Note-aux-auteurs.pdf" TargetMode="External"/><Relationship Id="rId14" Type="http://schemas.openxmlformats.org/officeDocument/2006/relationships/hyperlink" Target="https://doi.org/10.1017/S0022278X21000124"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2787</Words>
  <Characters>14634</Characters>
  <Application>Microsoft Office Word</Application>
  <DocSecurity>0</DocSecurity>
  <Lines>206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Muriel CHAMPY</cp:lastModifiedBy>
  <cp:revision>3</cp:revision>
  <dcterms:created xsi:type="dcterms:W3CDTF">2025-07-14T11:27:00Z</dcterms:created>
  <dcterms:modified xsi:type="dcterms:W3CDTF">2025-07-14T17:04:00Z</dcterms:modified>
</cp:coreProperties>
</file>